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17" w:type="dxa"/>
        <w:tblInd w:w="5" w:type="dxa"/>
        <w:shd w:val="clear" w:color="auto" w:fill="92D050"/>
        <w:tblLook w:val="04A0" w:firstRow="1" w:lastRow="0" w:firstColumn="1" w:lastColumn="0" w:noHBand="0" w:noVBand="1"/>
      </w:tblPr>
      <w:tblGrid>
        <w:gridCol w:w="1225"/>
        <w:gridCol w:w="6600"/>
        <w:gridCol w:w="2192"/>
      </w:tblGrid>
      <w:tr w:rsidR="001A6A12" w:rsidRPr="0087058B" w14:paraId="77E1A1B2" w14:textId="77777777" w:rsidTr="0026380D">
        <w:trPr>
          <w:trHeight w:val="504"/>
        </w:trPr>
        <w:tc>
          <w:tcPr>
            <w:tcW w:w="7825" w:type="dxa"/>
            <w:gridSpan w:val="2"/>
            <w:shd w:val="clear" w:color="auto" w:fill="92D050"/>
            <w:vAlign w:val="center"/>
          </w:tcPr>
          <w:p w14:paraId="11A52E87" w14:textId="77777777" w:rsidR="001A6A12" w:rsidRPr="00B02248" w:rsidRDefault="001A6A12" w:rsidP="0026380D">
            <w:pPr>
              <w:spacing w:after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B02248">
              <w:rPr>
                <w:b/>
                <w:bCs/>
                <w:sz w:val="28"/>
                <w:szCs w:val="28"/>
              </w:rPr>
              <w:t xml:space="preserve">Mission 2 – Calculer des ratios financiers </w:t>
            </w:r>
          </w:p>
        </w:tc>
        <w:tc>
          <w:tcPr>
            <w:tcW w:w="2192" w:type="dxa"/>
            <w:shd w:val="clear" w:color="auto" w:fill="92D050"/>
            <w:vAlign w:val="center"/>
          </w:tcPr>
          <w:p w14:paraId="08F69C94" w14:textId="77777777" w:rsidR="001A6A12" w:rsidRPr="0087058B" w:rsidRDefault="001A6A12" w:rsidP="0026380D">
            <w:pPr>
              <w:spacing w:after="0"/>
              <w:jc w:val="left"/>
              <w:rPr>
                <w:noProof/>
                <w:color w:val="000000" w:themeColor="text1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F13468B" wp14:editId="7185F033">
                  <wp:extent cx="1264285" cy="536575"/>
                  <wp:effectExtent l="0" t="0" r="0" b="0"/>
                  <wp:docPr id="16" name="Image 1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A12" w:rsidRPr="0087058B" w14:paraId="55D8A5F1" w14:textId="77777777" w:rsidTr="0026380D">
        <w:trPr>
          <w:trHeight w:val="504"/>
        </w:trPr>
        <w:tc>
          <w:tcPr>
            <w:tcW w:w="1225" w:type="dxa"/>
            <w:shd w:val="clear" w:color="auto" w:fill="92D050"/>
            <w:vAlign w:val="center"/>
          </w:tcPr>
          <w:p w14:paraId="260511E4" w14:textId="77777777" w:rsidR="001A6A12" w:rsidRPr="0087058B" w:rsidRDefault="001A6A12" w:rsidP="0026380D">
            <w:pPr>
              <w:spacing w:after="0"/>
              <w:jc w:val="left"/>
              <w:rPr>
                <w:b/>
                <w:color w:val="000000" w:themeColor="text1"/>
              </w:rPr>
            </w:pPr>
            <w:r w:rsidRPr="0087058B">
              <w:rPr>
                <w:b/>
                <w:color w:val="000000" w:themeColor="text1"/>
              </w:rPr>
              <w:t>Durée</w:t>
            </w:r>
            <w:r w:rsidRPr="0087058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40’</w:t>
            </w:r>
          </w:p>
        </w:tc>
        <w:tc>
          <w:tcPr>
            <w:tcW w:w="6600" w:type="dxa"/>
            <w:shd w:val="clear" w:color="auto" w:fill="92D050"/>
            <w:vAlign w:val="center"/>
          </w:tcPr>
          <w:p w14:paraId="2B8C24C8" w14:textId="70DB80C2" w:rsidR="001A6A12" w:rsidRPr="0087058B" w:rsidRDefault="00120B7C" w:rsidP="0026380D">
            <w:pPr>
              <w:spacing w:after="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2FE790E2" wp14:editId="61ADF20F">
                  <wp:extent cx="324000" cy="324000"/>
                  <wp:effectExtent l="0" t="0" r="0" b="0"/>
                  <wp:docPr id="978662624" name="Graphique 1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21409" name="Graphique 1458121409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692C1FFC" wp14:editId="5CD3EE05">
                  <wp:extent cx="357517" cy="324000"/>
                  <wp:effectExtent l="0" t="0" r="0" b="0"/>
                  <wp:docPr id="1480738101" name="Graphique 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95826" name="Graphique 1497895826" descr="Deux hommes avec un remplissage uni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t="4514" b="4861"/>
                          <a:stretch/>
                        </pic:blipFill>
                        <pic:spPr bwMode="auto">
                          <a:xfrm>
                            <a:off x="0" y="0"/>
                            <a:ext cx="357517" cy="3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  <w:shd w:val="clear" w:color="auto" w:fill="92D050"/>
            <w:vAlign w:val="center"/>
          </w:tcPr>
          <w:p w14:paraId="3A6BD50A" w14:textId="77777777" w:rsidR="001A6A12" w:rsidRPr="0087058B" w:rsidRDefault="001A6A12" w:rsidP="0026380D">
            <w:pPr>
              <w:spacing w:after="0"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Source</w:t>
            </w:r>
          </w:p>
        </w:tc>
      </w:tr>
    </w:tbl>
    <w:p w14:paraId="7362E910" w14:textId="77777777" w:rsidR="001A6A12" w:rsidRPr="00B06313" w:rsidRDefault="001A6A12" w:rsidP="001A6A12">
      <w:pPr>
        <w:spacing w:before="120" w:after="0"/>
        <w:jc w:val="left"/>
        <w:rPr>
          <w:b/>
          <w:color w:val="auto"/>
          <w:sz w:val="24"/>
          <w:szCs w:val="24"/>
        </w:rPr>
      </w:pPr>
      <w:r w:rsidRPr="00B06313">
        <w:rPr>
          <w:b/>
          <w:color w:val="auto"/>
          <w:sz w:val="24"/>
          <w:szCs w:val="24"/>
        </w:rPr>
        <w:t>Contexte professionnel</w:t>
      </w:r>
    </w:p>
    <w:p w14:paraId="3493F4D6" w14:textId="77777777" w:rsidR="001A6A12" w:rsidRDefault="001A6A12" w:rsidP="001A6A12">
      <w:pPr>
        <w:spacing w:before="120" w:after="240" w:line="240" w:lineRule="auto"/>
        <w:ind w:right="-15"/>
      </w:pPr>
      <w:bookmarkStart w:id="0" w:name="_Mission_03_–"/>
      <w:bookmarkEnd w:id="0"/>
      <w:r>
        <w:t xml:space="preserve">M. Sacardi vous remet les bilans fonctionnels des années N et N-1 ainsi qu’un certain nombre d’informations extraites des comptes de résultat de l’année et des années antérieures. Il </w:t>
      </w:r>
      <w:r w:rsidRPr="00FA464B">
        <w:t xml:space="preserve">vous demande d’analyser ces </w:t>
      </w:r>
      <w:r>
        <w:t>documents</w:t>
      </w:r>
      <w:r w:rsidRPr="00FA464B">
        <w:t xml:space="preserve"> et de lui faire part de vos commentaires</w:t>
      </w:r>
      <w:r>
        <w:t> ?</w:t>
      </w:r>
      <w:r>
        <w:rPr>
          <w:sz w:val="24"/>
        </w:rPr>
        <w:t xml:space="preserve"> </w:t>
      </w:r>
    </w:p>
    <w:tbl>
      <w:tblPr>
        <w:tblStyle w:val="TableGrid"/>
        <w:tblW w:w="7649" w:type="dxa"/>
        <w:jc w:val="center"/>
        <w:tblInd w:w="0" w:type="dxa"/>
        <w:tblCellMar>
          <w:left w:w="90" w:type="dxa"/>
          <w:right w:w="115" w:type="dxa"/>
        </w:tblCellMar>
        <w:tblLook w:val="04A0" w:firstRow="1" w:lastRow="0" w:firstColumn="1" w:lastColumn="0" w:noHBand="0" w:noVBand="1"/>
      </w:tblPr>
      <w:tblGrid>
        <w:gridCol w:w="3098"/>
        <w:gridCol w:w="1574"/>
        <w:gridCol w:w="1559"/>
        <w:gridCol w:w="1418"/>
      </w:tblGrid>
      <w:tr w:rsidR="001A6A12" w:rsidRPr="00A54376" w14:paraId="139C92C6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2B24907B" w14:textId="77777777" w:rsidR="001A6A12" w:rsidRPr="006A2597" w:rsidRDefault="001A6A12" w:rsidP="0026380D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Comptes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34C79740" w14:textId="77777777" w:rsidR="001A6A12" w:rsidRPr="006A2597" w:rsidRDefault="001A6A12" w:rsidP="0026380D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Année </w:t>
            </w:r>
            <w:r w:rsidRPr="006A2597">
              <w:rPr>
                <w:rFonts w:ascii="Arial Narrow" w:hAnsi="Arial Narrow"/>
                <w:b/>
                <w:szCs w:val="24"/>
              </w:rPr>
              <w:t xml:space="preserve">N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6802408C" w14:textId="77777777" w:rsidR="001A6A12" w:rsidRPr="006A2597" w:rsidRDefault="001A6A12" w:rsidP="0026380D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Année </w:t>
            </w:r>
            <w:r w:rsidRPr="006A2597">
              <w:rPr>
                <w:rFonts w:ascii="Arial Narrow" w:hAnsi="Arial Narrow"/>
                <w:b/>
                <w:szCs w:val="24"/>
              </w:rPr>
              <w:t xml:space="preserve">N-1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599" w:themeFill="accent4" w:themeFillTint="66"/>
          </w:tcPr>
          <w:p w14:paraId="397333F2" w14:textId="77777777" w:rsidR="001A6A12" w:rsidRPr="006A2597" w:rsidRDefault="001A6A12" w:rsidP="0026380D">
            <w:pPr>
              <w:spacing w:after="0" w:line="276" w:lineRule="auto"/>
              <w:ind w:left="0" w:firstLine="0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Année </w:t>
            </w:r>
            <w:r w:rsidRPr="006A2597">
              <w:rPr>
                <w:rFonts w:ascii="Arial Narrow" w:hAnsi="Arial Narrow"/>
                <w:b/>
                <w:szCs w:val="24"/>
              </w:rPr>
              <w:t xml:space="preserve">N-2 </w:t>
            </w:r>
          </w:p>
        </w:tc>
      </w:tr>
      <w:tr w:rsidR="001A6A12" w:rsidRPr="00A54376" w14:paraId="18F3E807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770D2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Capitaux propres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1FA7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112 000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0AC8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100 000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96E94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6CCA4C72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91A3A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Amortissement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FA10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22 000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90D3C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18 000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6CF8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7D009ED7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38FE7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Dettes financières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44657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45 000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6501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38 000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E9254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009955A2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AA7E7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Stocks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FDE5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  8 900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FDC6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11 300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8EFC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9 800  </w:t>
            </w:r>
          </w:p>
        </w:tc>
      </w:tr>
      <w:tr w:rsidR="001A6A12" w:rsidRPr="00A54376" w14:paraId="5AFD2A27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6D38A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Variation stock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E04A4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-       2 400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CCB2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    1 500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DCB4C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366C63C5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70AA3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Achats HT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DB57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802 000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E876E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885 000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E2CE1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46F4FB4A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C579A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Achats TTC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9A362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959 192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DCAEE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1 058 460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EEE9F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3A3666E9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92232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Dettes fournisseurs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1A99C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130 000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B085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155 000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4B8E7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7F8105B1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6CF30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Créances clients TTC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7366A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130 000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F290B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   112 000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66F1B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  <w:tr w:rsidR="001A6A12" w:rsidRPr="00A54376" w14:paraId="2B67F687" w14:textId="77777777" w:rsidTr="0026380D">
        <w:trPr>
          <w:trHeight w:val="20"/>
          <w:jc w:val="center"/>
        </w:trPr>
        <w:tc>
          <w:tcPr>
            <w:tcW w:w="3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461EC" w14:textId="77777777" w:rsidR="001A6A12" w:rsidRPr="006A2597" w:rsidRDefault="001A6A12" w:rsidP="0026380D">
            <w:pPr>
              <w:spacing w:after="0" w:line="276" w:lineRule="auto"/>
              <w:ind w:left="0" w:firstLine="0"/>
              <w:jc w:val="left"/>
              <w:rPr>
                <w:rFonts w:ascii="Arial Narrow" w:hAnsi="Arial Narrow"/>
                <w:szCs w:val="24"/>
              </w:rPr>
            </w:pPr>
            <w:r w:rsidRPr="006A2597">
              <w:rPr>
                <w:rFonts w:ascii="Arial Narrow" w:hAnsi="Arial Narrow"/>
                <w:b/>
                <w:szCs w:val="24"/>
              </w:rPr>
              <w:t xml:space="preserve">Ventes TTC 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D4FB5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2 310 000 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7BCB3" w14:textId="77777777" w:rsidR="001A6A12" w:rsidRPr="006A2597" w:rsidRDefault="001A6A12" w:rsidP="0026380D">
            <w:pPr>
              <w:spacing w:after="0" w:line="276" w:lineRule="auto"/>
              <w:ind w:left="12" w:firstLine="0"/>
              <w:jc w:val="right"/>
              <w:rPr>
                <w:rFonts w:ascii="Arial Narrow" w:hAnsi="Arial Narrow"/>
                <w:bCs/>
                <w:szCs w:val="24"/>
              </w:rPr>
            </w:pPr>
            <w:r w:rsidRPr="006A2597">
              <w:rPr>
                <w:rFonts w:ascii="Arial Narrow" w:hAnsi="Arial Narrow"/>
                <w:bCs/>
                <w:szCs w:val="24"/>
              </w:rPr>
              <w:t xml:space="preserve"> 2 420 000  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F193C" w14:textId="77777777" w:rsidR="001A6A12" w:rsidRPr="006A2597" w:rsidRDefault="001A6A12" w:rsidP="0026380D">
            <w:pPr>
              <w:spacing w:after="0" w:line="276" w:lineRule="auto"/>
              <w:ind w:left="0" w:firstLine="0"/>
              <w:jc w:val="right"/>
              <w:rPr>
                <w:rFonts w:ascii="Arial Narrow" w:hAnsi="Arial Narrow"/>
                <w:bCs/>
                <w:szCs w:val="24"/>
              </w:rPr>
            </w:pPr>
          </w:p>
        </w:tc>
      </w:tr>
    </w:tbl>
    <w:p w14:paraId="4E6969E4" w14:textId="77777777" w:rsidR="001A6A12" w:rsidRDefault="001A6A12" w:rsidP="001A6A12">
      <w:pPr>
        <w:spacing w:after="120" w:line="240" w:lineRule="auto"/>
        <w:ind w:right="-15"/>
        <w:jc w:val="left"/>
        <w:rPr>
          <w:b/>
        </w:rPr>
      </w:pPr>
    </w:p>
    <w:p w14:paraId="3D10294B" w14:textId="77777777" w:rsidR="001A6A12" w:rsidRPr="006A2597" w:rsidRDefault="001A6A12" w:rsidP="001A6A12">
      <w:pPr>
        <w:pStyle w:val="Paragraphedeliste"/>
        <w:numPr>
          <w:ilvl w:val="0"/>
          <w:numId w:val="1"/>
        </w:numPr>
        <w:spacing w:before="120" w:after="240"/>
        <w:jc w:val="left"/>
        <w:rPr>
          <w:bCs/>
          <w:color w:val="auto"/>
        </w:rPr>
      </w:pPr>
      <w:r w:rsidRPr="006A2597">
        <w:rPr>
          <w:bCs/>
          <w:color w:val="auto"/>
        </w:rPr>
        <w:t>Á partir des données précédentes calculer les ratios et commentez ces résultats</w:t>
      </w:r>
    </w:p>
    <w:tbl>
      <w:tblPr>
        <w:tblStyle w:val="TableGrid"/>
        <w:tblW w:w="10006" w:type="dxa"/>
        <w:tblInd w:w="-101" w:type="dxa"/>
        <w:tblLayout w:type="fixed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223"/>
        <w:gridCol w:w="2835"/>
        <w:gridCol w:w="2551"/>
        <w:gridCol w:w="2397"/>
      </w:tblGrid>
      <w:tr w:rsidR="001A6A12" w14:paraId="6D05EB88" w14:textId="77777777" w:rsidTr="0026380D">
        <w:trPr>
          <w:trHeight w:val="2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 w:themeFill="accent4" w:themeFillTint="66"/>
          </w:tcPr>
          <w:p w14:paraId="300CF771" w14:textId="77777777" w:rsidR="001A6A12" w:rsidRDefault="001A6A12" w:rsidP="0026380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 w:themeFill="accent4" w:themeFillTint="66"/>
            <w:vAlign w:val="center"/>
          </w:tcPr>
          <w:p w14:paraId="7C7D71AE" w14:textId="77777777" w:rsidR="001A6A12" w:rsidRDefault="001A6A12" w:rsidP="0026380D">
            <w:pPr>
              <w:spacing w:before="120" w:after="120" w:line="276" w:lineRule="auto"/>
              <w:ind w:left="1316" w:firstLine="0"/>
              <w:jc w:val="left"/>
            </w:pPr>
            <w:r>
              <w:rPr>
                <w:b/>
              </w:rPr>
              <w:t xml:space="preserve">Ratios de structure financière 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37F12EC" w14:textId="77777777" w:rsidR="001A6A12" w:rsidRDefault="001A6A12" w:rsidP="0026380D">
            <w:pPr>
              <w:spacing w:after="0" w:line="276" w:lineRule="auto"/>
              <w:ind w:left="0" w:firstLine="0"/>
              <w:jc w:val="left"/>
            </w:pPr>
          </w:p>
        </w:tc>
      </w:tr>
      <w:tr w:rsidR="001A6A12" w14:paraId="5461A146" w14:textId="77777777" w:rsidTr="0026380D">
        <w:trPr>
          <w:trHeight w:val="2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729ADBB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Ratios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4FA9302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Formules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0BE696C9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N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8335571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N-1 </w:t>
            </w:r>
          </w:p>
        </w:tc>
      </w:tr>
      <w:tr w:rsidR="001A6A12" w14:paraId="6C878DBF" w14:textId="77777777" w:rsidTr="0026380D">
        <w:trPr>
          <w:trHeight w:val="8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074D05F" w14:textId="77777777" w:rsidR="001A6A12" w:rsidRPr="003D0D22" w:rsidRDefault="001A6A12" w:rsidP="0026380D">
            <w:pPr>
              <w:spacing w:before="120" w:after="120" w:line="240" w:lineRule="auto"/>
              <w:ind w:left="0" w:right="111" w:firstLine="0"/>
              <w:jc w:val="left"/>
            </w:pPr>
            <w:r w:rsidRPr="003D0D22">
              <w:rPr>
                <w:b/>
              </w:rPr>
              <w:t xml:space="preserve">Couverture des immobilisations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376" w14:textId="77777777" w:rsidR="001A6A12" w:rsidRPr="003D0D22" w:rsidRDefault="001A6A12" w:rsidP="0026380D">
            <w:pPr>
              <w:spacing w:before="120" w:after="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  <w:u w:val="single" w:color="000000"/>
              </w:rPr>
              <w:t xml:space="preserve">Ressources stables </w:t>
            </w:r>
            <w:r>
              <w:rPr>
                <w:sz w:val="18"/>
                <w:u w:val="single" w:color="000000"/>
              </w:rPr>
              <w:t xml:space="preserve">x </w:t>
            </w:r>
            <w:r w:rsidRPr="003D0D22">
              <w:rPr>
                <w:sz w:val="18"/>
                <w:u w:val="single" w:color="000000"/>
              </w:rPr>
              <w:t>100</w:t>
            </w:r>
          </w:p>
          <w:p w14:paraId="0473A5BD" w14:textId="77777777" w:rsidR="001A6A12" w:rsidRPr="003D0D22" w:rsidRDefault="001A6A12" w:rsidP="0026380D">
            <w:pPr>
              <w:spacing w:after="12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</w:rPr>
              <w:t>Emplois stables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FE67" w14:textId="77777777" w:rsidR="001A6A12" w:rsidRDefault="001A6A12" w:rsidP="0026380D">
            <w:pPr>
              <w:spacing w:before="120" w:after="120" w:line="276" w:lineRule="auto"/>
              <w:ind w:left="1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9ED8" w14:textId="77777777" w:rsidR="001A6A12" w:rsidRDefault="001A6A12" w:rsidP="0026380D">
            <w:pPr>
              <w:spacing w:before="120" w:after="120" w:line="276" w:lineRule="auto"/>
              <w:ind w:left="1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A6A12" w14:paraId="6E73A331" w14:textId="77777777" w:rsidTr="0026380D">
        <w:trPr>
          <w:trHeight w:val="8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2755CAF4" w14:textId="77777777" w:rsidR="001A6A12" w:rsidRPr="003D0D22" w:rsidRDefault="001A6A12" w:rsidP="0026380D">
            <w:pPr>
              <w:spacing w:before="120" w:after="120" w:line="240" w:lineRule="auto"/>
              <w:ind w:left="0" w:right="29" w:firstLine="0"/>
              <w:jc w:val="left"/>
            </w:pPr>
            <w:r w:rsidRPr="003D0D22">
              <w:rPr>
                <w:b/>
              </w:rPr>
              <w:t xml:space="preserve">Couverture des capitaux investis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C224" w14:textId="77777777" w:rsidR="001A6A12" w:rsidRPr="003D0D22" w:rsidRDefault="001A6A12" w:rsidP="0026380D">
            <w:pPr>
              <w:spacing w:before="120" w:after="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  <w:u w:val="single" w:color="000000"/>
              </w:rPr>
              <w:t xml:space="preserve">Ressources stables </w:t>
            </w:r>
            <w:r>
              <w:rPr>
                <w:sz w:val="18"/>
                <w:u w:val="single" w:color="000000"/>
              </w:rPr>
              <w:t xml:space="preserve">x </w:t>
            </w:r>
            <w:r w:rsidRPr="003D0D22">
              <w:rPr>
                <w:sz w:val="18"/>
                <w:u w:val="single" w:color="000000"/>
              </w:rPr>
              <w:t>100</w:t>
            </w:r>
          </w:p>
          <w:p w14:paraId="3EBFAE34" w14:textId="77777777" w:rsidR="001A6A12" w:rsidRPr="003D0D22" w:rsidRDefault="001A6A12" w:rsidP="0026380D">
            <w:pPr>
              <w:spacing w:after="12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</w:rPr>
              <w:t xml:space="preserve">Emplois stables + </w:t>
            </w:r>
            <w:proofErr w:type="spellStart"/>
            <w:r w:rsidRPr="003D0D22">
              <w:rPr>
                <w:sz w:val="18"/>
              </w:rPr>
              <w:t>BFRE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D389" w14:textId="77777777" w:rsidR="001A6A12" w:rsidRDefault="001A6A12" w:rsidP="0026380D">
            <w:pPr>
              <w:spacing w:before="120" w:after="120" w:line="276" w:lineRule="auto"/>
              <w:ind w:left="1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1606" w14:textId="77777777" w:rsidR="001A6A12" w:rsidRDefault="001A6A12" w:rsidP="0026380D">
            <w:pPr>
              <w:spacing w:before="120" w:after="120" w:line="276" w:lineRule="auto"/>
              <w:ind w:left="1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A6A12" w14:paraId="1518EF71" w14:textId="77777777" w:rsidTr="0026380D">
        <w:trPr>
          <w:trHeight w:val="8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654885C9" w14:textId="77777777" w:rsidR="001A6A12" w:rsidRPr="003D0D22" w:rsidRDefault="001A6A12" w:rsidP="0026380D">
            <w:pPr>
              <w:spacing w:before="120" w:after="120" w:line="240" w:lineRule="auto"/>
              <w:ind w:left="0" w:firstLine="0"/>
              <w:jc w:val="left"/>
            </w:pPr>
            <w:r w:rsidRPr="003D0D22">
              <w:rPr>
                <w:b/>
              </w:rPr>
              <w:t xml:space="preserve">Taux d’endettement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5AF2" w14:textId="77777777" w:rsidR="001A6A12" w:rsidRPr="003D0D22" w:rsidRDefault="001A6A12" w:rsidP="0026380D">
            <w:pPr>
              <w:spacing w:before="120" w:after="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  <w:u w:val="single" w:color="000000"/>
              </w:rPr>
              <w:t xml:space="preserve">Dettes financières </w:t>
            </w:r>
            <w:r>
              <w:rPr>
                <w:sz w:val="18"/>
                <w:u w:val="single" w:color="000000"/>
              </w:rPr>
              <w:t>x</w:t>
            </w:r>
            <w:r w:rsidRPr="003D0D22">
              <w:rPr>
                <w:sz w:val="18"/>
                <w:u w:val="single" w:color="000000"/>
              </w:rPr>
              <w:t xml:space="preserve"> 100</w:t>
            </w:r>
          </w:p>
          <w:p w14:paraId="284AB11C" w14:textId="77777777" w:rsidR="001A6A12" w:rsidRPr="003D0D22" w:rsidRDefault="001A6A12" w:rsidP="0026380D">
            <w:pPr>
              <w:spacing w:after="12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</w:rPr>
              <w:t xml:space="preserve">Capitaux propres + </w:t>
            </w:r>
            <w:proofErr w:type="spellStart"/>
            <w:r w:rsidRPr="003D0D22">
              <w:rPr>
                <w:sz w:val="18"/>
              </w:rPr>
              <w:t>Amt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45AE" w14:textId="77777777" w:rsidR="001A6A12" w:rsidRDefault="001A6A12" w:rsidP="0026380D">
            <w:pPr>
              <w:spacing w:before="120" w:after="120" w:line="276" w:lineRule="auto"/>
              <w:ind w:left="14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FB21" w14:textId="77777777" w:rsidR="001A6A12" w:rsidRDefault="001A6A12" w:rsidP="0026380D">
            <w:pPr>
              <w:spacing w:before="120" w:after="120" w:line="276" w:lineRule="auto"/>
              <w:ind w:left="12" w:firstLine="0"/>
              <w:jc w:val="left"/>
            </w:pPr>
            <w:r>
              <w:rPr>
                <w:i/>
                <w:sz w:val="18"/>
              </w:rPr>
              <w:t xml:space="preserve"> </w:t>
            </w:r>
          </w:p>
        </w:tc>
      </w:tr>
      <w:tr w:rsidR="001A6A12" w14:paraId="25FD21F3" w14:textId="77777777" w:rsidTr="0026380D">
        <w:trPr>
          <w:trHeight w:val="20"/>
        </w:trPr>
        <w:tc>
          <w:tcPr>
            <w:tcW w:w="10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8A67C58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>Ratios de rotation</w:t>
            </w:r>
          </w:p>
        </w:tc>
      </w:tr>
      <w:tr w:rsidR="001A6A12" w14:paraId="1DB65802" w14:textId="77777777" w:rsidTr="0026380D">
        <w:trPr>
          <w:trHeight w:val="2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B0C22FE" w14:textId="77777777" w:rsidR="001A6A12" w:rsidRDefault="001A6A12" w:rsidP="0026380D">
            <w:pPr>
              <w:spacing w:before="120" w:after="120" w:line="240" w:lineRule="auto"/>
              <w:ind w:left="0" w:firstLine="0"/>
              <w:jc w:val="center"/>
            </w:pPr>
            <w:r>
              <w:rPr>
                <w:b/>
              </w:rPr>
              <w:t xml:space="preserve">Ratios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BA76190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Formules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F568B61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N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362DFFAD" w14:textId="77777777" w:rsidR="001A6A12" w:rsidRDefault="001A6A12" w:rsidP="0026380D">
            <w:pPr>
              <w:spacing w:before="120" w:after="120" w:line="276" w:lineRule="auto"/>
              <w:ind w:left="0" w:firstLine="0"/>
              <w:jc w:val="center"/>
            </w:pPr>
            <w:r>
              <w:rPr>
                <w:b/>
              </w:rPr>
              <w:t xml:space="preserve">N-1 </w:t>
            </w:r>
          </w:p>
        </w:tc>
      </w:tr>
      <w:tr w:rsidR="001A6A12" w14:paraId="6B63F013" w14:textId="77777777" w:rsidTr="0026380D">
        <w:trPr>
          <w:trHeight w:val="8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75AF521" w14:textId="77777777" w:rsidR="001A6A12" w:rsidRPr="003D0D22" w:rsidRDefault="001A6A12" w:rsidP="0026380D">
            <w:pPr>
              <w:spacing w:before="120" w:after="120" w:line="240" w:lineRule="auto"/>
              <w:ind w:left="0" w:firstLine="0"/>
              <w:jc w:val="left"/>
            </w:pPr>
            <w:r w:rsidRPr="003D0D22">
              <w:rPr>
                <w:b/>
              </w:rPr>
              <w:t xml:space="preserve">Durée moyenne de stockage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AD9DD" w14:textId="77777777" w:rsidR="001A6A12" w:rsidRPr="003D0D22" w:rsidRDefault="001A6A12" w:rsidP="0026380D">
            <w:pPr>
              <w:spacing w:before="120" w:after="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  <w:u w:val="single" w:color="000000"/>
              </w:rPr>
              <w:t>(SI +</w:t>
            </w:r>
            <w:r>
              <w:rPr>
                <w:sz w:val="18"/>
                <w:u w:val="single" w:color="000000"/>
              </w:rPr>
              <w:t xml:space="preserve"> </w:t>
            </w:r>
            <w:r w:rsidRPr="003D0D22">
              <w:rPr>
                <w:sz w:val="18"/>
                <w:u w:val="single" w:color="000000"/>
              </w:rPr>
              <w:t xml:space="preserve">SF) / 2 </w:t>
            </w:r>
            <w:r>
              <w:rPr>
                <w:sz w:val="18"/>
                <w:u w:val="single" w:color="000000"/>
              </w:rPr>
              <w:t>x</w:t>
            </w:r>
            <w:r w:rsidRPr="003D0D22">
              <w:rPr>
                <w:sz w:val="18"/>
                <w:u w:val="single" w:color="000000"/>
              </w:rPr>
              <w:t xml:space="preserve"> 360 jours</w:t>
            </w:r>
          </w:p>
          <w:p w14:paraId="3F04DC43" w14:textId="77777777" w:rsidR="001A6A12" w:rsidRPr="003D0D22" w:rsidRDefault="001A6A12" w:rsidP="0026380D">
            <w:pPr>
              <w:spacing w:after="12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</w:rPr>
              <w:t>Achats HT ± var</w:t>
            </w:r>
            <w:r>
              <w:rPr>
                <w:sz w:val="18"/>
              </w:rPr>
              <w:t>iation de</w:t>
            </w:r>
            <w:r w:rsidRPr="003D0D22">
              <w:rPr>
                <w:sz w:val="18"/>
              </w:rPr>
              <w:t xml:space="preserve"> stocks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BC40" w14:textId="77777777" w:rsidR="001A6A12" w:rsidRDefault="001A6A12" w:rsidP="0026380D">
            <w:pPr>
              <w:spacing w:before="120" w:after="120" w:line="276" w:lineRule="auto"/>
              <w:ind w:left="1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A8C9" w14:textId="77777777" w:rsidR="001A6A12" w:rsidRDefault="001A6A12" w:rsidP="0026380D">
            <w:pPr>
              <w:spacing w:before="120" w:after="120" w:line="276" w:lineRule="auto"/>
              <w:ind w:left="1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A6A12" w14:paraId="784223F6" w14:textId="77777777" w:rsidTr="0026380D">
        <w:trPr>
          <w:trHeight w:val="8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73FDE68F" w14:textId="77777777" w:rsidR="001A6A12" w:rsidRPr="003D0D22" w:rsidRDefault="001A6A12" w:rsidP="0026380D">
            <w:pPr>
              <w:spacing w:before="120" w:after="120" w:line="240" w:lineRule="auto"/>
              <w:ind w:left="0" w:right="220" w:firstLine="0"/>
              <w:jc w:val="left"/>
            </w:pPr>
            <w:r w:rsidRPr="003D0D22">
              <w:rPr>
                <w:b/>
              </w:rPr>
              <w:t>Durée moyenne du crédit client</w:t>
            </w:r>
            <w:r>
              <w:rPr>
                <w:b/>
              </w:rPr>
              <w:t>s</w:t>
            </w:r>
            <w:r w:rsidRPr="003D0D22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FE3F" w14:textId="77777777" w:rsidR="001A6A12" w:rsidRPr="003D0D22" w:rsidRDefault="001A6A12" w:rsidP="0026380D">
            <w:pPr>
              <w:spacing w:before="120" w:after="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  <w:u w:val="single" w:color="000000"/>
              </w:rPr>
              <w:t xml:space="preserve">Clients TTC </w:t>
            </w:r>
            <w:r>
              <w:rPr>
                <w:sz w:val="18"/>
                <w:u w:val="single" w:color="000000"/>
              </w:rPr>
              <w:t>x</w:t>
            </w:r>
            <w:r w:rsidRPr="003D0D22">
              <w:rPr>
                <w:sz w:val="18"/>
                <w:u w:val="single" w:color="000000"/>
              </w:rPr>
              <w:t xml:space="preserve"> 360</w:t>
            </w:r>
          </w:p>
          <w:p w14:paraId="3260B24B" w14:textId="77777777" w:rsidR="001A6A12" w:rsidRPr="003D0D22" w:rsidRDefault="001A6A12" w:rsidP="0026380D">
            <w:pPr>
              <w:spacing w:after="12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</w:rPr>
              <w:t>Ventes TTC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C761" w14:textId="77777777" w:rsidR="001A6A12" w:rsidRDefault="001A6A12" w:rsidP="0026380D">
            <w:pPr>
              <w:spacing w:before="120" w:after="120" w:line="276" w:lineRule="auto"/>
              <w:ind w:left="1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AFCD" w14:textId="77777777" w:rsidR="001A6A12" w:rsidRDefault="001A6A12" w:rsidP="0026380D">
            <w:pPr>
              <w:spacing w:before="120" w:after="120" w:line="276" w:lineRule="auto"/>
              <w:ind w:left="1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A6A12" w14:paraId="23B42A48" w14:textId="77777777" w:rsidTr="0026380D">
        <w:trPr>
          <w:trHeight w:val="850"/>
        </w:trPr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C6A8211" w14:textId="77777777" w:rsidR="001A6A12" w:rsidRPr="003D0D22" w:rsidRDefault="001A6A12" w:rsidP="0026380D">
            <w:pPr>
              <w:spacing w:before="120" w:after="120" w:line="240" w:lineRule="auto"/>
              <w:ind w:left="0" w:right="41" w:firstLine="0"/>
              <w:jc w:val="left"/>
            </w:pPr>
            <w:r w:rsidRPr="003D0D22">
              <w:rPr>
                <w:b/>
              </w:rPr>
              <w:t>Durée moyenne du crédit fournisseur</w:t>
            </w:r>
            <w:r>
              <w:rPr>
                <w:b/>
              </w:rPr>
              <w:t>s</w:t>
            </w:r>
            <w:r w:rsidRPr="003D0D22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76A8" w14:textId="77777777" w:rsidR="001A6A12" w:rsidRPr="003D0D22" w:rsidRDefault="001A6A12" w:rsidP="0026380D">
            <w:pPr>
              <w:spacing w:before="120" w:after="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  <w:u w:val="single" w:color="000000"/>
              </w:rPr>
              <w:t xml:space="preserve">Fournisseurs TTC </w:t>
            </w:r>
            <w:r>
              <w:rPr>
                <w:sz w:val="18"/>
                <w:u w:val="single" w:color="000000"/>
              </w:rPr>
              <w:t>x</w:t>
            </w:r>
            <w:r w:rsidRPr="003D0D22">
              <w:rPr>
                <w:sz w:val="18"/>
                <w:u w:val="single" w:color="000000"/>
              </w:rPr>
              <w:t xml:space="preserve"> 360</w:t>
            </w:r>
          </w:p>
          <w:p w14:paraId="2230D284" w14:textId="77777777" w:rsidR="001A6A12" w:rsidRPr="003D0D22" w:rsidRDefault="001A6A12" w:rsidP="0026380D">
            <w:pPr>
              <w:spacing w:after="120" w:line="240" w:lineRule="auto"/>
              <w:ind w:left="12" w:firstLine="0"/>
              <w:jc w:val="center"/>
              <w:rPr>
                <w:sz w:val="18"/>
              </w:rPr>
            </w:pPr>
            <w:r w:rsidRPr="003D0D22">
              <w:rPr>
                <w:sz w:val="18"/>
              </w:rPr>
              <w:t>Achats TTC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D05E" w14:textId="77777777" w:rsidR="001A6A12" w:rsidRDefault="001A6A12" w:rsidP="0026380D">
            <w:pPr>
              <w:spacing w:before="120" w:after="120" w:line="276" w:lineRule="auto"/>
              <w:ind w:left="14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8BC0" w14:textId="77777777" w:rsidR="001A6A12" w:rsidRDefault="001A6A12" w:rsidP="0026380D">
            <w:pPr>
              <w:spacing w:before="120" w:after="120" w:line="276" w:lineRule="auto"/>
              <w:ind w:left="12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14:paraId="51C6C45A" w14:textId="77777777" w:rsidR="001A6A12" w:rsidRDefault="001A6A12" w:rsidP="001A6A12">
      <w:pPr>
        <w:tabs>
          <w:tab w:val="left" w:pos="2228"/>
          <w:tab w:val="left" w:pos="4494"/>
          <w:tab w:val="left" w:pos="6906"/>
        </w:tabs>
        <w:spacing w:after="0" w:line="276" w:lineRule="auto"/>
        <w:ind w:left="5" w:firstLine="0"/>
        <w:jc w:val="left"/>
        <w:rPr>
          <w:b/>
        </w:rPr>
      </w:pPr>
    </w:p>
    <w:p w14:paraId="51679360" w14:textId="77777777" w:rsidR="001A6A12" w:rsidRDefault="001A6A12" w:rsidP="001A6A12">
      <w:pPr>
        <w:tabs>
          <w:tab w:val="left" w:pos="2228"/>
          <w:tab w:val="left" w:pos="4494"/>
          <w:tab w:val="left" w:pos="6906"/>
        </w:tabs>
        <w:spacing w:after="0" w:line="276" w:lineRule="auto"/>
        <w:ind w:left="5" w:firstLine="0"/>
        <w:jc w:val="left"/>
        <w:rPr>
          <w:b/>
        </w:rPr>
      </w:pPr>
    </w:p>
    <w:p w14:paraId="0D8DAC2F" w14:textId="77777777" w:rsidR="001A6A12" w:rsidRDefault="001A6A12" w:rsidP="001A6A12">
      <w:pPr>
        <w:tabs>
          <w:tab w:val="left" w:pos="2228"/>
          <w:tab w:val="left" w:pos="4494"/>
          <w:tab w:val="left" w:pos="6906"/>
        </w:tabs>
        <w:spacing w:after="0" w:line="276" w:lineRule="auto"/>
        <w:ind w:left="5" w:firstLine="0"/>
        <w:jc w:val="left"/>
        <w:rPr>
          <w:b/>
        </w:rPr>
      </w:pPr>
    </w:p>
    <w:p w14:paraId="11AD9377" w14:textId="77777777" w:rsidR="001B014B" w:rsidRDefault="001B014B"/>
    <w:sectPr w:rsidR="001B014B" w:rsidSect="00975FF5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0BFF"/>
    <w:multiLevelType w:val="hybridMultilevel"/>
    <w:tmpl w:val="C1F2F0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51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12"/>
    <w:rsid w:val="00120B7C"/>
    <w:rsid w:val="001A6A12"/>
    <w:rsid w:val="001B014B"/>
    <w:rsid w:val="00744B11"/>
    <w:rsid w:val="00975FF5"/>
    <w:rsid w:val="00B02248"/>
    <w:rsid w:val="00F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1128"/>
  <w15:chartTrackingRefBased/>
  <w15:docId w15:val="{FCBEF16E-07C3-4E74-933A-7C8A1A7E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12"/>
    <w:pPr>
      <w:spacing w:after="13" w:line="241" w:lineRule="auto"/>
      <w:ind w:left="-5" w:hanging="10"/>
      <w:jc w:val="both"/>
    </w:pPr>
    <w:rPr>
      <w:rFonts w:ascii="Arial" w:eastAsiaTheme="minorEastAsia" w:hAnsi="Arial" w:cs="Arial"/>
      <w:color w:val="000000"/>
      <w:kern w:val="2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1A6A12"/>
    <w:pPr>
      <w:spacing w:after="0" w:line="240" w:lineRule="auto"/>
    </w:pPr>
    <w:rPr>
      <w:rFonts w:eastAsiaTheme="minorEastAsia"/>
      <w:kern w:val="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1A6A12"/>
    <w:pPr>
      <w:spacing w:after="0" w:line="240" w:lineRule="auto"/>
    </w:pPr>
    <w:rPr>
      <w:rFonts w:eastAsiaTheme="minorEastAsia"/>
      <w:kern w:val="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1A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2020-08-17T14:58:00Z</dcterms:created>
  <dcterms:modified xsi:type="dcterms:W3CDTF">2024-04-19T13:55:00Z</dcterms:modified>
</cp:coreProperties>
</file>