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107" w:type="dxa"/>
        <w:shd w:val="clear" w:color="auto" w:fill="92D050"/>
        <w:tblLook w:val="04A0" w:firstRow="1" w:lastRow="0" w:firstColumn="1" w:lastColumn="0" w:noHBand="0" w:noVBand="1"/>
      </w:tblPr>
      <w:tblGrid>
        <w:gridCol w:w="1365"/>
        <w:gridCol w:w="7114"/>
        <w:gridCol w:w="1628"/>
      </w:tblGrid>
      <w:tr w:rsidR="007162D6" w:rsidRPr="00D031B2" w14:paraId="76F61D26" w14:textId="77777777" w:rsidTr="005B2FBF">
        <w:trPr>
          <w:trHeight w:val="386"/>
        </w:trPr>
        <w:tc>
          <w:tcPr>
            <w:tcW w:w="8479" w:type="dxa"/>
            <w:gridSpan w:val="2"/>
            <w:shd w:val="clear" w:color="auto" w:fill="92D050"/>
            <w:vAlign w:val="center"/>
          </w:tcPr>
          <w:p w14:paraId="743FC0F6" w14:textId="679372B1" w:rsidR="007162D6" w:rsidRPr="00D031B2" w:rsidRDefault="007162D6" w:rsidP="00DC55BB">
            <w:pPr>
              <w:spacing w:after="120"/>
              <w:jc w:val="center"/>
              <w:rPr>
                <w:b/>
                <w:color w:val="000000" w:themeColor="text1"/>
                <w:sz w:val="28"/>
              </w:rPr>
            </w:pPr>
            <w:bookmarkStart w:id="0" w:name="_Hlk47740556"/>
            <w:r>
              <w:rPr>
                <w:b/>
                <w:color w:val="000000" w:themeColor="text1"/>
                <w:sz w:val="28"/>
              </w:rPr>
              <w:t xml:space="preserve">Mission </w:t>
            </w:r>
            <w:r w:rsidR="003F5468">
              <w:rPr>
                <w:b/>
                <w:color w:val="000000" w:themeColor="text1"/>
                <w:sz w:val="28"/>
              </w:rPr>
              <w:t>4</w:t>
            </w:r>
            <w:r>
              <w:rPr>
                <w:b/>
                <w:color w:val="000000" w:themeColor="text1"/>
                <w:sz w:val="28"/>
              </w:rPr>
              <w:t xml:space="preserve"> –</w:t>
            </w:r>
            <w:r w:rsidRPr="00D031B2">
              <w:rPr>
                <w:b/>
                <w:color w:val="000000" w:themeColor="text1"/>
                <w:sz w:val="28"/>
              </w:rPr>
              <w:t xml:space="preserve"> </w:t>
            </w:r>
            <w:r w:rsidR="005B2FBF">
              <w:rPr>
                <w:b/>
                <w:color w:val="000000" w:themeColor="text1"/>
                <w:sz w:val="28"/>
              </w:rPr>
              <w:t>Étudier</w:t>
            </w:r>
            <w:r>
              <w:rPr>
                <w:b/>
                <w:color w:val="000000" w:themeColor="text1"/>
                <w:sz w:val="28"/>
              </w:rPr>
              <w:t xml:space="preserve"> une rentabilité prévisionnelle</w:t>
            </w:r>
          </w:p>
        </w:tc>
        <w:tc>
          <w:tcPr>
            <w:tcW w:w="1628" w:type="dxa"/>
            <w:shd w:val="clear" w:color="auto" w:fill="92D050"/>
          </w:tcPr>
          <w:p w14:paraId="4CDA8A3D" w14:textId="3FF12E7F" w:rsidR="007162D6" w:rsidRPr="00D031B2" w:rsidRDefault="005B2FBF" w:rsidP="00DC55BB">
            <w:pPr>
              <w:spacing w:before="0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2918672" wp14:editId="43DF81C1">
                  <wp:extent cx="889276" cy="776159"/>
                  <wp:effectExtent l="0" t="0" r="6350" b="5080"/>
                  <wp:docPr id="844475055" name="Image 5" descr="Une image contenant logo, Polic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90025" name="Image 5" descr="Une image contenant logo, Police, Graphique,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62" cy="77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2D6" w:rsidRPr="00D031B2" w14:paraId="4A4476D3" w14:textId="77777777" w:rsidTr="005B2FBF">
        <w:tc>
          <w:tcPr>
            <w:tcW w:w="1365" w:type="dxa"/>
            <w:shd w:val="clear" w:color="auto" w:fill="92D050"/>
            <w:vAlign w:val="center"/>
          </w:tcPr>
          <w:p w14:paraId="5AC93696" w14:textId="77777777" w:rsidR="007162D6" w:rsidRPr="00D031B2" w:rsidRDefault="007162D6" w:rsidP="00F36BC0">
            <w:pPr>
              <w:spacing w:before="0"/>
              <w:rPr>
                <w:rFonts w:cs="Calibri"/>
                <w:b/>
                <w:bCs/>
                <w:color w:val="000000" w:themeColor="text1"/>
              </w:rPr>
            </w:pPr>
            <w:r w:rsidRPr="00D031B2">
              <w:rPr>
                <w:rFonts w:cs="Arial"/>
                <w:b/>
                <w:color w:val="000000" w:themeColor="text1"/>
              </w:rPr>
              <w:t>Durée</w:t>
            </w:r>
            <w:r w:rsidRPr="00D031B2">
              <w:rPr>
                <w:rFonts w:cs="Arial"/>
                <w:color w:val="000000" w:themeColor="text1"/>
              </w:rPr>
              <w:t xml:space="preserve"> : </w:t>
            </w:r>
            <w:r>
              <w:rPr>
                <w:rFonts w:cs="Arial"/>
                <w:color w:val="000000" w:themeColor="text1"/>
              </w:rPr>
              <w:t>40’</w:t>
            </w:r>
          </w:p>
        </w:tc>
        <w:tc>
          <w:tcPr>
            <w:tcW w:w="7114" w:type="dxa"/>
            <w:shd w:val="clear" w:color="auto" w:fill="92D050"/>
            <w:vAlign w:val="center"/>
          </w:tcPr>
          <w:p w14:paraId="743FF507" w14:textId="536BA8D9" w:rsidR="007162D6" w:rsidRPr="00D031B2" w:rsidRDefault="005B2FBF" w:rsidP="00F36BC0">
            <w:pPr>
              <w:spacing w:before="0"/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43980D2" wp14:editId="0D0FD906">
                  <wp:extent cx="324000" cy="324000"/>
                  <wp:effectExtent l="0" t="0" r="0" b="0"/>
                  <wp:docPr id="182809275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340581C3" wp14:editId="524FF3B9">
                  <wp:extent cx="357517" cy="324000"/>
                  <wp:effectExtent l="0" t="0" r="0" b="0"/>
                  <wp:docPr id="348761778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shd w:val="clear" w:color="auto" w:fill="92D050"/>
            <w:vAlign w:val="center"/>
          </w:tcPr>
          <w:p w14:paraId="54A7F3E5" w14:textId="07C776E2" w:rsidR="007162D6" w:rsidRPr="00F462E7" w:rsidRDefault="007162D6" w:rsidP="00F02053">
            <w:pPr>
              <w:spacing w:before="0"/>
              <w:jc w:val="center"/>
              <w:rPr>
                <w:rFonts w:cs="Calibri"/>
                <w:color w:val="000000" w:themeColor="text1"/>
              </w:rPr>
            </w:pPr>
            <w:r w:rsidRPr="00F462E7">
              <w:rPr>
                <w:rFonts w:cs="Calibri"/>
                <w:color w:val="000000" w:themeColor="text1"/>
              </w:rPr>
              <w:t>Source</w:t>
            </w:r>
          </w:p>
        </w:tc>
      </w:tr>
    </w:tbl>
    <w:p w14:paraId="3F8F664D" w14:textId="77777777" w:rsidR="007162D6" w:rsidRDefault="007162D6" w:rsidP="007162D6">
      <w:pPr>
        <w:spacing w:before="0"/>
        <w:jc w:val="both"/>
        <w:rPr>
          <w:b/>
          <w:sz w:val="22"/>
        </w:rPr>
      </w:pPr>
    </w:p>
    <w:p w14:paraId="7B547627" w14:textId="77777777" w:rsidR="007162D6" w:rsidRPr="00AC7BC8" w:rsidRDefault="007162D6" w:rsidP="007162D6">
      <w:pPr>
        <w:spacing w:before="0" w:after="120"/>
        <w:jc w:val="both"/>
        <w:rPr>
          <w:b/>
          <w:sz w:val="24"/>
          <w:szCs w:val="28"/>
        </w:rPr>
      </w:pPr>
      <w:r w:rsidRPr="00AC7BC8">
        <w:rPr>
          <w:b/>
          <w:sz w:val="24"/>
          <w:szCs w:val="28"/>
        </w:rPr>
        <w:t>Contexte professionnel</w:t>
      </w:r>
    </w:p>
    <w:p w14:paraId="1836CE2B" w14:textId="67AFBD8A" w:rsidR="005B2FBF" w:rsidRPr="00AC7BC8" w:rsidRDefault="005B2FBF" w:rsidP="005B2FBF">
      <w:pPr>
        <w:spacing w:after="120"/>
        <w:jc w:val="both"/>
      </w:pPr>
      <w:bookmarkStart w:id="1" w:name="_Hlk177420969"/>
      <w:r>
        <w:t xml:space="preserve">La société va lancer un réseau de collecte de matières </w:t>
      </w:r>
      <w:r w:rsidR="00987E0F">
        <w:t>liquides</w:t>
      </w:r>
      <w:r w:rsidR="00987E0F">
        <w:t xml:space="preserve"> </w:t>
      </w:r>
      <w:r>
        <w:t xml:space="preserve">dangereuses. </w:t>
      </w:r>
      <w:r w:rsidRPr="00AC7BC8">
        <w:t>L’enlèvement de</w:t>
      </w:r>
      <w:r>
        <w:t xml:space="preserve"> ces</w:t>
      </w:r>
      <w:r w:rsidRPr="00AC7BC8">
        <w:t xml:space="preserve"> déchets nécessitera l’acquisition d’un camion-citerne permettant de récupérer </w:t>
      </w:r>
      <w:r>
        <w:t>c</w:t>
      </w:r>
      <w:r w:rsidRPr="00AC7BC8">
        <w:t xml:space="preserve">es matières. Cette acquisition </w:t>
      </w:r>
      <w:r w:rsidR="00987E0F">
        <w:t>nécessitera l’</w:t>
      </w:r>
      <w:r w:rsidRPr="00AC7BC8">
        <w:t>embauche</w:t>
      </w:r>
      <w:r w:rsidR="00987E0F">
        <w:t xml:space="preserve"> d’</w:t>
      </w:r>
      <w:r w:rsidRPr="00AC7BC8">
        <w:t>un chauffeur possédant les certifications nécessaires à la conduite de ce véhicule.</w:t>
      </w:r>
    </w:p>
    <w:p w14:paraId="099005BE" w14:textId="4695E41D" w:rsidR="005B2FBF" w:rsidRPr="00AC7BC8" w:rsidRDefault="00987E0F" w:rsidP="005B2FBF">
      <w:pPr>
        <w:jc w:val="both"/>
      </w:pPr>
      <w:r>
        <w:t xml:space="preserve">Au cours de l’exercice précédent, l’entreprise a dégagé un résultat bénéficiaire de 8 %. </w:t>
      </w:r>
      <w:r w:rsidR="005B2FBF" w:rsidRPr="00AC7BC8">
        <w:t>Vous devez déterminer le chiffre d’affaires semestriel qui assurera la rentabilité de cet investissement et qui permettra d’atteindre le même niveau de bénéfice. Au cours d</w:t>
      </w:r>
      <w:r>
        <w:t>u</w:t>
      </w:r>
      <w:r w:rsidR="005B2FBF" w:rsidRPr="00AC7BC8">
        <w:t xml:space="preserve"> dernier semestre, le chiffre d’affaires </w:t>
      </w:r>
      <w:r>
        <w:t>s</w:t>
      </w:r>
      <w:r w:rsidR="005B2FBF" w:rsidRPr="00AC7BC8">
        <w:t>’est élevé à 1 193 618 € HT. Grâce à cet investissement, l’augmentation du chiffre d’affaires est estimée à 10 %.</w:t>
      </w:r>
    </w:p>
    <w:bookmarkEnd w:id="1"/>
    <w:p w14:paraId="7538ED63" w14:textId="77777777" w:rsidR="005B2FBF" w:rsidRDefault="005B2FBF" w:rsidP="005B2FBF">
      <w:pPr>
        <w:jc w:val="both"/>
      </w:pPr>
      <w:r w:rsidRPr="00AC7BC8">
        <w:t>Vous avez collecté auprès de vos collègues les informations nécessaires à la réalisation de ce calcul</w:t>
      </w:r>
    </w:p>
    <w:p w14:paraId="6C8394DB" w14:textId="77777777" w:rsidR="007162D6" w:rsidRDefault="007162D6" w:rsidP="007162D6">
      <w:pPr>
        <w:jc w:val="both"/>
      </w:pPr>
    </w:p>
    <w:p w14:paraId="0EF284E8" w14:textId="77777777" w:rsidR="007162D6" w:rsidRPr="00AC7BC8" w:rsidRDefault="007162D6" w:rsidP="007162D6">
      <w:pPr>
        <w:spacing w:after="120"/>
        <w:jc w:val="both"/>
        <w:rPr>
          <w:b/>
          <w:sz w:val="24"/>
          <w:szCs w:val="28"/>
        </w:rPr>
      </w:pPr>
      <w:r w:rsidRPr="00AC7BC8">
        <w:rPr>
          <w:b/>
          <w:sz w:val="24"/>
          <w:szCs w:val="28"/>
        </w:rPr>
        <w:t>Travail à faire</w:t>
      </w:r>
    </w:p>
    <w:p w14:paraId="08E168C3" w14:textId="38BEEBF8" w:rsidR="007162D6" w:rsidRPr="00AC7BC8" w:rsidRDefault="007162D6" w:rsidP="007162D6">
      <w:pPr>
        <w:pStyle w:val="Paragraphedeliste"/>
        <w:numPr>
          <w:ilvl w:val="0"/>
          <w:numId w:val="1"/>
        </w:numPr>
        <w:rPr>
          <w:bCs/>
        </w:rPr>
      </w:pPr>
      <w:r w:rsidRPr="00AC7BC8">
        <w:rPr>
          <w:bCs/>
        </w:rPr>
        <w:t>Présentez le compte de résultat différentiel prévisionnel semestriel (</w:t>
      </w:r>
      <w:r w:rsidR="005B2FBF">
        <w:rPr>
          <w:bCs/>
        </w:rPr>
        <w:t>a</w:t>
      </w:r>
      <w:r w:rsidRPr="00AC7BC8">
        <w:rPr>
          <w:bCs/>
        </w:rPr>
        <w:t>rrondir les montant à l’</w:t>
      </w:r>
      <w:r w:rsidR="005B2FBF">
        <w:rPr>
          <w:bCs/>
        </w:rPr>
        <w:t>Euro</w:t>
      </w:r>
      <w:r w:rsidRPr="00AC7BC8">
        <w:rPr>
          <w:bCs/>
        </w:rPr>
        <w:t xml:space="preserve"> le plus proche)</w:t>
      </w:r>
      <w:r w:rsidR="005B2FBF">
        <w:rPr>
          <w:bCs/>
        </w:rPr>
        <w:t>.</w:t>
      </w:r>
    </w:p>
    <w:p w14:paraId="4A7CC852" w14:textId="3E3FFC0B" w:rsidR="007162D6" w:rsidRPr="00AC7BC8" w:rsidRDefault="007162D6" w:rsidP="007162D6">
      <w:pPr>
        <w:pStyle w:val="Paragraphedeliste"/>
        <w:numPr>
          <w:ilvl w:val="0"/>
          <w:numId w:val="1"/>
        </w:numPr>
        <w:rPr>
          <w:bCs/>
        </w:rPr>
      </w:pPr>
      <w:r w:rsidRPr="00AC7BC8">
        <w:rPr>
          <w:bCs/>
        </w:rPr>
        <w:t>Déterminez le seuil de rentabilité prévisionnel semestriel</w:t>
      </w:r>
      <w:r w:rsidR="00987E0F">
        <w:rPr>
          <w:bCs/>
        </w:rPr>
        <w:t>.</w:t>
      </w:r>
    </w:p>
    <w:p w14:paraId="301DD692" w14:textId="7EBF8448" w:rsidR="007162D6" w:rsidRPr="00AC7BC8" w:rsidRDefault="00987E0F" w:rsidP="007162D6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 xml:space="preserve">Calculez </w:t>
      </w:r>
      <w:r w:rsidR="007162D6" w:rsidRPr="00AC7BC8">
        <w:rPr>
          <w:bCs/>
        </w:rPr>
        <w:t xml:space="preserve">le chiffre d’affaires semestriel à atteindre pour réaliser un résultat </w:t>
      </w:r>
      <w:r>
        <w:rPr>
          <w:bCs/>
        </w:rPr>
        <w:t>de 8 %</w:t>
      </w:r>
      <w:r w:rsidR="005B2FBF">
        <w:rPr>
          <w:bCs/>
        </w:rPr>
        <w:t>.</w:t>
      </w:r>
      <w:r w:rsidR="007162D6" w:rsidRPr="00AC7BC8">
        <w:rPr>
          <w:bCs/>
        </w:rPr>
        <w:t xml:space="preserve"> </w:t>
      </w:r>
    </w:p>
    <w:p w14:paraId="03BD5E48" w14:textId="3930637A" w:rsidR="007162D6" w:rsidRPr="00AC7BC8" w:rsidRDefault="007162D6" w:rsidP="007162D6">
      <w:pPr>
        <w:pStyle w:val="Paragraphedeliste"/>
        <w:numPr>
          <w:ilvl w:val="0"/>
          <w:numId w:val="1"/>
        </w:numPr>
        <w:rPr>
          <w:bCs/>
        </w:rPr>
      </w:pPr>
      <w:r w:rsidRPr="00AC7BC8">
        <w:rPr>
          <w:bCs/>
        </w:rPr>
        <w:t>Présentez vos conclusions dans une note</w:t>
      </w:r>
      <w:r w:rsidR="005B2FBF">
        <w:rPr>
          <w:bCs/>
        </w:rPr>
        <w:t>.</w:t>
      </w:r>
    </w:p>
    <w:bookmarkEnd w:id="0"/>
    <w:p w14:paraId="12D6AF53" w14:textId="77777777" w:rsidR="007162D6" w:rsidRPr="00AD67E1" w:rsidRDefault="007162D6" w:rsidP="007162D6">
      <w:pPr>
        <w:rPr>
          <w:b/>
        </w:rPr>
      </w:pPr>
    </w:p>
    <w:p w14:paraId="5D3BDD65" w14:textId="055FC153" w:rsidR="007162D6" w:rsidRPr="00AD67E1" w:rsidRDefault="00F36BC0" w:rsidP="005B2FBF">
      <w:pPr>
        <w:spacing w:before="0"/>
        <w:rPr>
          <w:b/>
          <w:sz w:val="24"/>
        </w:rPr>
      </w:pPr>
      <w:bookmarkStart w:id="2" w:name="_Hlk47740831"/>
      <w:r w:rsidRPr="00F36BC0">
        <w:rPr>
          <w:b/>
          <w:color w:val="FFFFFF" w:themeColor="background1"/>
          <w:sz w:val="24"/>
          <w:highlight w:val="red"/>
        </w:rPr>
        <w:t>Doc. </w:t>
      </w:r>
      <w:r w:rsidRPr="00F36BC0">
        <w:rPr>
          <w:b/>
          <w:color w:val="FFFFFF" w:themeColor="background1"/>
          <w:sz w:val="24"/>
        </w:rPr>
        <w:t xml:space="preserve"> </w:t>
      </w:r>
      <w:r w:rsidR="005B2FBF">
        <w:rPr>
          <w:b/>
          <w:sz w:val="24"/>
        </w:rPr>
        <w:t>C</w:t>
      </w:r>
      <w:r w:rsidR="007162D6" w:rsidRPr="00AD67E1">
        <w:rPr>
          <w:b/>
          <w:sz w:val="24"/>
        </w:rPr>
        <w:t xml:space="preserve">harges semestrielles prévisionnelles </w:t>
      </w:r>
      <w:r w:rsidR="00B934CD">
        <w:rPr>
          <w:b/>
          <w:sz w:val="24"/>
        </w:rPr>
        <w:t>concernant</w:t>
      </w:r>
      <w:r w:rsidR="007162D6" w:rsidRPr="00AD67E1">
        <w:rPr>
          <w:b/>
          <w:sz w:val="24"/>
        </w:rPr>
        <w:t xml:space="preserve"> </w:t>
      </w:r>
      <w:r w:rsidR="00B934CD">
        <w:rPr>
          <w:b/>
          <w:sz w:val="24"/>
        </w:rPr>
        <w:t xml:space="preserve">le </w:t>
      </w:r>
      <w:r w:rsidR="007162D6" w:rsidRPr="00AD67E1">
        <w:rPr>
          <w:b/>
          <w:sz w:val="24"/>
        </w:rPr>
        <w:t xml:space="preserve">camion-citerne et </w:t>
      </w:r>
      <w:r w:rsidR="00B934CD">
        <w:rPr>
          <w:b/>
          <w:sz w:val="24"/>
        </w:rPr>
        <w:t xml:space="preserve">le </w:t>
      </w:r>
      <w:r w:rsidR="007162D6" w:rsidRPr="00AD67E1">
        <w:rPr>
          <w:b/>
          <w:sz w:val="24"/>
        </w:rPr>
        <w:t xml:space="preserve"> chauffeur </w:t>
      </w:r>
    </w:p>
    <w:bookmarkEnd w:id="2"/>
    <w:p w14:paraId="5CA95184" w14:textId="0FD1E6B4" w:rsidR="007162D6" w:rsidRPr="00AD67E1" w:rsidRDefault="007162D6" w:rsidP="005B2FBF">
      <w:pPr>
        <w:spacing w:before="360" w:after="120"/>
        <w:jc w:val="center"/>
        <w:rPr>
          <w:b/>
          <w:sz w:val="22"/>
        </w:rPr>
      </w:pPr>
      <w:r w:rsidRPr="00AD67E1">
        <w:rPr>
          <w:b/>
          <w:sz w:val="22"/>
        </w:rPr>
        <w:t>Charge</w:t>
      </w:r>
      <w:r w:rsidR="005B2FBF">
        <w:rPr>
          <w:b/>
          <w:sz w:val="22"/>
        </w:rPr>
        <w:t>s</w:t>
      </w:r>
      <w:r w:rsidRPr="00AD67E1">
        <w:rPr>
          <w:b/>
          <w:sz w:val="22"/>
        </w:rPr>
        <w:t xml:space="preserve"> prévisionnelle</w:t>
      </w:r>
      <w:r w:rsidR="005B2FBF">
        <w:rPr>
          <w:b/>
          <w:sz w:val="22"/>
        </w:rPr>
        <w:t>s</w:t>
      </w:r>
      <w:r w:rsidRPr="00AD67E1">
        <w:rPr>
          <w:b/>
          <w:sz w:val="22"/>
        </w:rPr>
        <w:t xml:space="preserve"> deuxième semestre</w:t>
      </w:r>
    </w:p>
    <w:tbl>
      <w:tblPr>
        <w:tblStyle w:val="Grilledutableau"/>
        <w:tblW w:w="10658" w:type="dxa"/>
        <w:jc w:val="center"/>
        <w:tblLook w:val="04A0" w:firstRow="1" w:lastRow="0" w:firstColumn="1" w:lastColumn="0" w:noHBand="0" w:noVBand="1"/>
      </w:tblPr>
      <w:tblGrid>
        <w:gridCol w:w="1183"/>
        <w:gridCol w:w="2517"/>
        <w:gridCol w:w="1105"/>
        <w:gridCol w:w="3396"/>
        <w:gridCol w:w="1254"/>
        <w:gridCol w:w="1203"/>
      </w:tblGrid>
      <w:tr w:rsidR="005B2FBF" w:rsidRPr="00AD5F19" w14:paraId="0520DDF3" w14:textId="77777777" w:rsidTr="008A6841">
        <w:trPr>
          <w:jc w:val="center"/>
        </w:trPr>
        <w:tc>
          <w:tcPr>
            <w:tcW w:w="1183" w:type="dxa"/>
            <w:shd w:val="clear" w:color="auto" w:fill="E2EFD9" w:themeFill="accent6" w:themeFillTint="33"/>
            <w:vAlign w:val="center"/>
          </w:tcPr>
          <w:p w14:paraId="47B33DC0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AD5F19">
              <w:rPr>
                <w:rFonts w:cs="Arial"/>
                <w:b/>
                <w:bCs/>
                <w:szCs w:val="20"/>
              </w:rPr>
              <w:t>ompte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2517" w:type="dxa"/>
            <w:shd w:val="clear" w:color="auto" w:fill="E2EFD9" w:themeFill="accent6" w:themeFillTint="33"/>
            <w:vAlign w:val="center"/>
          </w:tcPr>
          <w:p w14:paraId="4254D148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D5F19">
              <w:rPr>
                <w:rFonts w:cs="Arial"/>
                <w:b/>
                <w:bCs/>
                <w:szCs w:val="20"/>
              </w:rPr>
              <w:t>Charges</w:t>
            </w:r>
          </w:p>
        </w:tc>
        <w:tc>
          <w:tcPr>
            <w:tcW w:w="1105" w:type="dxa"/>
            <w:shd w:val="clear" w:color="auto" w:fill="E2EFD9" w:themeFill="accent6" w:themeFillTint="33"/>
            <w:vAlign w:val="center"/>
          </w:tcPr>
          <w:p w14:paraId="4AED8B86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D5F19">
              <w:rPr>
                <w:rFonts w:cs="Arial"/>
                <w:b/>
                <w:bCs/>
                <w:szCs w:val="20"/>
              </w:rPr>
              <w:t>Montant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3396" w:type="dxa"/>
            <w:shd w:val="clear" w:color="auto" w:fill="E2EFD9" w:themeFill="accent6" w:themeFillTint="33"/>
            <w:vAlign w:val="center"/>
          </w:tcPr>
          <w:p w14:paraId="160E81C1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D5F19">
              <w:rPr>
                <w:rFonts w:cs="Arial"/>
                <w:b/>
                <w:bCs/>
                <w:szCs w:val="20"/>
              </w:rPr>
              <w:t>Type</w:t>
            </w:r>
            <w:r>
              <w:rPr>
                <w:rFonts w:cs="Arial"/>
                <w:b/>
                <w:bCs/>
                <w:szCs w:val="20"/>
              </w:rPr>
              <w:t>s</w:t>
            </w:r>
            <w:r w:rsidRPr="00AD5F19">
              <w:rPr>
                <w:rFonts w:cs="Arial"/>
                <w:b/>
                <w:bCs/>
                <w:szCs w:val="20"/>
              </w:rPr>
              <w:t xml:space="preserve"> de charges</w:t>
            </w:r>
          </w:p>
        </w:tc>
        <w:tc>
          <w:tcPr>
            <w:tcW w:w="1254" w:type="dxa"/>
            <w:shd w:val="clear" w:color="auto" w:fill="E2EFD9" w:themeFill="accent6" w:themeFillTint="33"/>
            <w:vAlign w:val="center"/>
          </w:tcPr>
          <w:p w14:paraId="45947612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D5F19">
              <w:rPr>
                <w:rFonts w:cs="Arial"/>
                <w:b/>
                <w:bCs/>
                <w:szCs w:val="20"/>
              </w:rPr>
              <w:t>Fixes</w:t>
            </w:r>
          </w:p>
        </w:tc>
        <w:tc>
          <w:tcPr>
            <w:tcW w:w="1203" w:type="dxa"/>
            <w:shd w:val="clear" w:color="auto" w:fill="E2EFD9" w:themeFill="accent6" w:themeFillTint="33"/>
            <w:vAlign w:val="center"/>
          </w:tcPr>
          <w:p w14:paraId="6B8269C7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D5F19">
              <w:rPr>
                <w:rFonts w:cs="Arial"/>
                <w:b/>
                <w:bCs/>
                <w:szCs w:val="20"/>
              </w:rPr>
              <w:t>Variables</w:t>
            </w:r>
          </w:p>
        </w:tc>
      </w:tr>
      <w:tr w:rsidR="005B2FBF" w:rsidRPr="00AD5F19" w14:paraId="06192590" w14:textId="77777777" w:rsidTr="008A6841">
        <w:trPr>
          <w:jc w:val="center"/>
        </w:trPr>
        <w:tc>
          <w:tcPr>
            <w:tcW w:w="1183" w:type="dxa"/>
          </w:tcPr>
          <w:p w14:paraId="58EF610F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604</w:t>
            </w:r>
          </w:p>
        </w:tc>
        <w:tc>
          <w:tcPr>
            <w:tcW w:w="2517" w:type="dxa"/>
          </w:tcPr>
          <w:p w14:paraId="726B559C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Traitement des déchets</w:t>
            </w:r>
          </w:p>
        </w:tc>
        <w:tc>
          <w:tcPr>
            <w:tcW w:w="1105" w:type="dxa"/>
          </w:tcPr>
          <w:p w14:paraId="1AC047B9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387 390</w:t>
            </w:r>
          </w:p>
        </w:tc>
        <w:tc>
          <w:tcPr>
            <w:tcW w:w="3396" w:type="dxa"/>
          </w:tcPr>
          <w:p w14:paraId="5D8C3608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Proportionnelles</w:t>
            </w:r>
          </w:p>
        </w:tc>
        <w:tc>
          <w:tcPr>
            <w:tcW w:w="1254" w:type="dxa"/>
          </w:tcPr>
          <w:p w14:paraId="6701C917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  <w:tc>
          <w:tcPr>
            <w:tcW w:w="1203" w:type="dxa"/>
          </w:tcPr>
          <w:p w14:paraId="4A8C5EAE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</w:tr>
      <w:tr w:rsidR="005B2FBF" w:rsidRPr="00AD5F19" w14:paraId="4585224C" w14:textId="77777777" w:rsidTr="008A6841">
        <w:trPr>
          <w:jc w:val="center"/>
        </w:trPr>
        <w:tc>
          <w:tcPr>
            <w:tcW w:w="1183" w:type="dxa"/>
          </w:tcPr>
          <w:p w14:paraId="0DC2AB74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606</w:t>
            </w:r>
          </w:p>
        </w:tc>
        <w:tc>
          <w:tcPr>
            <w:tcW w:w="2517" w:type="dxa"/>
          </w:tcPr>
          <w:p w14:paraId="00384614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Autres achats</w:t>
            </w:r>
          </w:p>
        </w:tc>
        <w:tc>
          <w:tcPr>
            <w:tcW w:w="1105" w:type="dxa"/>
          </w:tcPr>
          <w:p w14:paraId="09E524F1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156 130</w:t>
            </w:r>
          </w:p>
        </w:tc>
        <w:tc>
          <w:tcPr>
            <w:tcW w:w="3396" w:type="dxa"/>
          </w:tcPr>
          <w:p w14:paraId="36C6E375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Proportionnelles</w:t>
            </w:r>
          </w:p>
        </w:tc>
        <w:tc>
          <w:tcPr>
            <w:tcW w:w="1254" w:type="dxa"/>
          </w:tcPr>
          <w:p w14:paraId="0710C050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  <w:tc>
          <w:tcPr>
            <w:tcW w:w="1203" w:type="dxa"/>
          </w:tcPr>
          <w:p w14:paraId="28AE65D3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</w:tr>
      <w:tr w:rsidR="005B2FBF" w:rsidRPr="00AD5F19" w14:paraId="6CC99E1F" w14:textId="77777777" w:rsidTr="008A6841">
        <w:trPr>
          <w:jc w:val="center"/>
        </w:trPr>
        <w:tc>
          <w:tcPr>
            <w:tcW w:w="1183" w:type="dxa"/>
          </w:tcPr>
          <w:p w14:paraId="1F81A4DD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61 et 62</w:t>
            </w:r>
          </w:p>
        </w:tc>
        <w:tc>
          <w:tcPr>
            <w:tcW w:w="2517" w:type="dxa"/>
          </w:tcPr>
          <w:p w14:paraId="4B9E714D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Services extérieurs</w:t>
            </w:r>
          </w:p>
        </w:tc>
        <w:tc>
          <w:tcPr>
            <w:tcW w:w="1105" w:type="dxa"/>
          </w:tcPr>
          <w:p w14:paraId="186D6799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 xml:space="preserve">479 485 </w:t>
            </w:r>
          </w:p>
        </w:tc>
        <w:tc>
          <w:tcPr>
            <w:tcW w:w="3396" w:type="dxa"/>
          </w:tcPr>
          <w:p w14:paraId="382C1D24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Fixes à raison de 60 %</w:t>
            </w:r>
          </w:p>
        </w:tc>
        <w:tc>
          <w:tcPr>
            <w:tcW w:w="1254" w:type="dxa"/>
          </w:tcPr>
          <w:p w14:paraId="0F66CFA3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  <w:tc>
          <w:tcPr>
            <w:tcW w:w="1203" w:type="dxa"/>
          </w:tcPr>
          <w:p w14:paraId="763866B8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</w:tr>
      <w:tr w:rsidR="005B2FBF" w:rsidRPr="00AD5F19" w14:paraId="4A30024C" w14:textId="77777777" w:rsidTr="008A6841">
        <w:trPr>
          <w:jc w:val="center"/>
        </w:trPr>
        <w:tc>
          <w:tcPr>
            <w:tcW w:w="1183" w:type="dxa"/>
          </w:tcPr>
          <w:p w14:paraId="0DC40014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63</w:t>
            </w:r>
          </w:p>
        </w:tc>
        <w:tc>
          <w:tcPr>
            <w:tcW w:w="2517" w:type="dxa"/>
          </w:tcPr>
          <w:p w14:paraId="3343B9A3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Impôts et taxes</w:t>
            </w:r>
          </w:p>
        </w:tc>
        <w:tc>
          <w:tcPr>
            <w:tcW w:w="1105" w:type="dxa"/>
          </w:tcPr>
          <w:p w14:paraId="483568CC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44 890</w:t>
            </w:r>
          </w:p>
        </w:tc>
        <w:tc>
          <w:tcPr>
            <w:tcW w:w="3396" w:type="dxa"/>
          </w:tcPr>
          <w:p w14:paraId="440237FF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Fixes</w:t>
            </w:r>
          </w:p>
        </w:tc>
        <w:tc>
          <w:tcPr>
            <w:tcW w:w="1254" w:type="dxa"/>
          </w:tcPr>
          <w:p w14:paraId="242AFBF8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  <w:tc>
          <w:tcPr>
            <w:tcW w:w="1203" w:type="dxa"/>
          </w:tcPr>
          <w:p w14:paraId="201113C4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</w:tr>
      <w:tr w:rsidR="005B2FBF" w:rsidRPr="00AD5F19" w14:paraId="2AF708D6" w14:textId="77777777" w:rsidTr="008A6841">
        <w:trPr>
          <w:jc w:val="center"/>
        </w:trPr>
        <w:tc>
          <w:tcPr>
            <w:tcW w:w="1183" w:type="dxa"/>
          </w:tcPr>
          <w:p w14:paraId="2ED4EB03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64</w:t>
            </w:r>
          </w:p>
        </w:tc>
        <w:tc>
          <w:tcPr>
            <w:tcW w:w="2517" w:type="dxa"/>
          </w:tcPr>
          <w:p w14:paraId="39489DEB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Charges du personnel</w:t>
            </w:r>
          </w:p>
        </w:tc>
        <w:tc>
          <w:tcPr>
            <w:tcW w:w="1105" w:type="dxa"/>
          </w:tcPr>
          <w:p w14:paraId="31DF1351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145 075</w:t>
            </w:r>
          </w:p>
        </w:tc>
        <w:tc>
          <w:tcPr>
            <w:tcW w:w="3396" w:type="dxa"/>
          </w:tcPr>
          <w:p w14:paraId="55F4E730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Proportionnelles à raison de 20 %</w:t>
            </w:r>
          </w:p>
        </w:tc>
        <w:tc>
          <w:tcPr>
            <w:tcW w:w="1254" w:type="dxa"/>
          </w:tcPr>
          <w:p w14:paraId="2F55F155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  <w:tc>
          <w:tcPr>
            <w:tcW w:w="1203" w:type="dxa"/>
          </w:tcPr>
          <w:p w14:paraId="0F181C01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</w:tr>
      <w:tr w:rsidR="005B2FBF" w:rsidRPr="00AD5F19" w14:paraId="2FF9C5C9" w14:textId="77777777" w:rsidTr="008A6841">
        <w:trPr>
          <w:jc w:val="center"/>
        </w:trPr>
        <w:tc>
          <w:tcPr>
            <w:tcW w:w="1183" w:type="dxa"/>
          </w:tcPr>
          <w:p w14:paraId="621AD59A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66</w:t>
            </w:r>
          </w:p>
        </w:tc>
        <w:tc>
          <w:tcPr>
            <w:tcW w:w="2517" w:type="dxa"/>
          </w:tcPr>
          <w:p w14:paraId="3A81694F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Charges financières</w:t>
            </w:r>
          </w:p>
        </w:tc>
        <w:tc>
          <w:tcPr>
            <w:tcW w:w="1105" w:type="dxa"/>
          </w:tcPr>
          <w:p w14:paraId="11B1D8EA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16 425</w:t>
            </w:r>
          </w:p>
        </w:tc>
        <w:tc>
          <w:tcPr>
            <w:tcW w:w="3396" w:type="dxa"/>
          </w:tcPr>
          <w:p w14:paraId="6EDB3AFC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Fixes</w:t>
            </w:r>
          </w:p>
        </w:tc>
        <w:tc>
          <w:tcPr>
            <w:tcW w:w="1254" w:type="dxa"/>
          </w:tcPr>
          <w:p w14:paraId="6B72B54E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  <w:tc>
          <w:tcPr>
            <w:tcW w:w="1203" w:type="dxa"/>
          </w:tcPr>
          <w:p w14:paraId="2AA25092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</w:tr>
      <w:tr w:rsidR="005B2FBF" w:rsidRPr="00AD5F19" w14:paraId="686511D5" w14:textId="77777777" w:rsidTr="008A6841">
        <w:trPr>
          <w:jc w:val="center"/>
        </w:trPr>
        <w:tc>
          <w:tcPr>
            <w:tcW w:w="1183" w:type="dxa"/>
          </w:tcPr>
          <w:p w14:paraId="1C257435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68</w:t>
            </w:r>
          </w:p>
        </w:tc>
        <w:tc>
          <w:tcPr>
            <w:tcW w:w="2517" w:type="dxa"/>
          </w:tcPr>
          <w:p w14:paraId="63E7D3F8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Dotation amortissements</w:t>
            </w:r>
          </w:p>
        </w:tc>
        <w:tc>
          <w:tcPr>
            <w:tcW w:w="1105" w:type="dxa"/>
          </w:tcPr>
          <w:p w14:paraId="4FBBAC35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10 335</w:t>
            </w:r>
          </w:p>
        </w:tc>
        <w:tc>
          <w:tcPr>
            <w:tcW w:w="3396" w:type="dxa"/>
          </w:tcPr>
          <w:p w14:paraId="6DCA424C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  <w:r w:rsidRPr="00AD5F19">
              <w:rPr>
                <w:rFonts w:cs="Arial"/>
                <w:szCs w:val="20"/>
              </w:rPr>
              <w:t>Fixes</w:t>
            </w:r>
          </w:p>
        </w:tc>
        <w:tc>
          <w:tcPr>
            <w:tcW w:w="1254" w:type="dxa"/>
          </w:tcPr>
          <w:p w14:paraId="035E3DAC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  <w:tc>
          <w:tcPr>
            <w:tcW w:w="1203" w:type="dxa"/>
          </w:tcPr>
          <w:p w14:paraId="51709DDD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</w:tr>
      <w:tr w:rsidR="005B2FBF" w:rsidRPr="00AD5F19" w14:paraId="283CA6C1" w14:textId="77777777" w:rsidTr="008A6841">
        <w:trPr>
          <w:jc w:val="center"/>
        </w:trPr>
        <w:tc>
          <w:tcPr>
            <w:tcW w:w="1183" w:type="dxa"/>
          </w:tcPr>
          <w:p w14:paraId="0869FD76" w14:textId="77777777" w:rsidR="005B2FBF" w:rsidRPr="00AD5F19" w:rsidRDefault="005B2FBF" w:rsidP="008A6841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2517" w:type="dxa"/>
          </w:tcPr>
          <w:p w14:paraId="652D4C9D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1105" w:type="dxa"/>
          </w:tcPr>
          <w:p w14:paraId="15E11E72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  <w:tc>
          <w:tcPr>
            <w:tcW w:w="3396" w:type="dxa"/>
          </w:tcPr>
          <w:p w14:paraId="7859B51B" w14:textId="77777777" w:rsidR="005B2FBF" w:rsidRPr="00AD5F19" w:rsidRDefault="005B2FBF" w:rsidP="008A6841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1254" w:type="dxa"/>
          </w:tcPr>
          <w:p w14:paraId="2485C7C5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  <w:tc>
          <w:tcPr>
            <w:tcW w:w="1203" w:type="dxa"/>
          </w:tcPr>
          <w:p w14:paraId="3B4D86E4" w14:textId="77777777" w:rsidR="005B2FBF" w:rsidRPr="00AD5F19" w:rsidRDefault="005B2FBF" w:rsidP="008A6841">
            <w:pPr>
              <w:spacing w:after="120"/>
              <w:jc w:val="right"/>
              <w:rPr>
                <w:rFonts w:cs="Arial"/>
                <w:szCs w:val="20"/>
              </w:rPr>
            </w:pPr>
          </w:p>
        </w:tc>
      </w:tr>
    </w:tbl>
    <w:p w14:paraId="39D6105B" w14:textId="77777777" w:rsidR="005B2FBF" w:rsidRDefault="005B2FBF" w:rsidP="005B2FBF">
      <w:pPr>
        <w:jc w:val="center"/>
      </w:pPr>
    </w:p>
    <w:p w14:paraId="14E16325" w14:textId="77777777" w:rsidR="00B934CD" w:rsidRDefault="00B934CD" w:rsidP="005B2FBF">
      <w:pPr>
        <w:jc w:val="center"/>
      </w:pPr>
    </w:p>
    <w:p w14:paraId="4F9C23D3" w14:textId="77777777" w:rsidR="00B934CD" w:rsidRDefault="00B934CD" w:rsidP="005B2FBF">
      <w:pPr>
        <w:jc w:val="center"/>
      </w:pPr>
    </w:p>
    <w:p w14:paraId="7C474B25" w14:textId="77777777" w:rsidR="00B934CD" w:rsidRDefault="00B934CD" w:rsidP="005B2FBF">
      <w:pPr>
        <w:jc w:val="center"/>
      </w:pPr>
    </w:p>
    <w:p w14:paraId="5CA93004" w14:textId="77777777" w:rsidR="00B934CD" w:rsidRDefault="00B934CD" w:rsidP="005B2FBF">
      <w:pPr>
        <w:jc w:val="center"/>
      </w:pPr>
    </w:p>
    <w:p w14:paraId="67EBDF10" w14:textId="77777777" w:rsidR="00B934CD" w:rsidRDefault="00B934CD" w:rsidP="005B2FBF">
      <w:pPr>
        <w:jc w:val="center"/>
      </w:pPr>
    </w:p>
    <w:p w14:paraId="5190DED0" w14:textId="77777777" w:rsidR="00B934CD" w:rsidRDefault="00B934CD" w:rsidP="005B2FBF">
      <w:pPr>
        <w:jc w:val="center"/>
      </w:pPr>
    </w:p>
    <w:p w14:paraId="22264F7B" w14:textId="69782165" w:rsidR="00B934CD" w:rsidRPr="00B934CD" w:rsidRDefault="00B934CD" w:rsidP="00B934CD">
      <w:pPr>
        <w:rPr>
          <w:b/>
          <w:bCs/>
          <w:sz w:val="24"/>
          <w:szCs w:val="28"/>
        </w:rPr>
      </w:pPr>
      <w:r w:rsidRPr="00B934CD">
        <w:rPr>
          <w:b/>
          <w:bCs/>
          <w:sz w:val="24"/>
          <w:szCs w:val="28"/>
        </w:rPr>
        <w:lastRenderedPageBreak/>
        <w:t>Réponses</w:t>
      </w:r>
    </w:p>
    <w:p w14:paraId="67C7C8B0" w14:textId="77777777" w:rsidR="00B934CD" w:rsidRDefault="00B934CD" w:rsidP="00B934CD">
      <w:pPr>
        <w:pStyle w:val="Paragraphedeliste"/>
        <w:numPr>
          <w:ilvl w:val="0"/>
          <w:numId w:val="2"/>
        </w:numPr>
        <w:rPr>
          <w:b/>
        </w:rPr>
      </w:pPr>
      <w:r w:rsidRPr="00B934CD">
        <w:rPr>
          <w:b/>
        </w:rPr>
        <w:t>Présentez le compte de résultat différentiel prévisionnel semestriel (arrondir les montant à l’Euro le plus proche).</w:t>
      </w:r>
    </w:p>
    <w:p w14:paraId="29104DF6" w14:textId="77777777" w:rsidR="00B934CD" w:rsidRDefault="00B934CD" w:rsidP="00B934CD">
      <w:pPr>
        <w:rPr>
          <w:b/>
        </w:rPr>
      </w:pPr>
    </w:p>
    <w:p w14:paraId="3E4882BB" w14:textId="77777777" w:rsidR="00B934CD" w:rsidRDefault="00B934CD" w:rsidP="00B934CD">
      <w:pPr>
        <w:rPr>
          <w:b/>
        </w:rPr>
      </w:pPr>
    </w:p>
    <w:p w14:paraId="7744CFC1" w14:textId="77777777" w:rsidR="00B934CD" w:rsidRDefault="00B934CD" w:rsidP="00B934CD">
      <w:pPr>
        <w:rPr>
          <w:b/>
        </w:rPr>
      </w:pPr>
    </w:p>
    <w:p w14:paraId="130D5102" w14:textId="77777777" w:rsidR="00B934CD" w:rsidRPr="00B934CD" w:rsidRDefault="00B934CD" w:rsidP="00B934CD">
      <w:pPr>
        <w:rPr>
          <w:b/>
        </w:rPr>
      </w:pPr>
    </w:p>
    <w:p w14:paraId="766AF4BB" w14:textId="77777777" w:rsidR="00B934CD" w:rsidRDefault="00B934CD" w:rsidP="00B934CD">
      <w:pPr>
        <w:pStyle w:val="Paragraphedeliste"/>
        <w:numPr>
          <w:ilvl w:val="0"/>
          <w:numId w:val="2"/>
        </w:numPr>
        <w:rPr>
          <w:b/>
        </w:rPr>
      </w:pPr>
      <w:r w:rsidRPr="00B934CD">
        <w:rPr>
          <w:b/>
        </w:rPr>
        <w:t>Déterminez le seuil de rentabilité prévisionnel semestriel.</w:t>
      </w:r>
    </w:p>
    <w:p w14:paraId="3AF5417C" w14:textId="77777777" w:rsidR="00B934CD" w:rsidRDefault="00B934CD" w:rsidP="00B934CD">
      <w:pPr>
        <w:rPr>
          <w:b/>
        </w:rPr>
      </w:pPr>
    </w:p>
    <w:p w14:paraId="65FAC29A" w14:textId="77777777" w:rsidR="00B934CD" w:rsidRDefault="00B934CD" w:rsidP="00B934CD">
      <w:pPr>
        <w:rPr>
          <w:b/>
        </w:rPr>
      </w:pPr>
    </w:p>
    <w:p w14:paraId="403CDC44" w14:textId="77777777" w:rsidR="00B934CD" w:rsidRDefault="00B934CD" w:rsidP="00B934CD">
      <w:pPr>
        <w:rPr>
          <w:b/>
        </w:rPr>
      </w:pPr>
    </w:p>
    <w:p w14:paraId="5F876BCC" w14:textId="77777777" w:rsidR="00B934CD" w:rsidRPr="00B934CD" w:rsidRDefault="00B934CD" w:rsidP="00B934CD">
      <w:pPr>
        <w:rPr>
          <w:b/>
        </w:rPr>
      </w:pPr>
    </w:p>
    <w:p w14:paraId="003BA040" w14:textId="77777777" w:rsidR="00B934CD" w:rsidRDefault="00B934CD" w:rsidP="00B934CD">
      <w:pPr>
        <w:pStyle w:val="Paragraphedeliste"/>
        <w:numPr>
          <w:ilvl w:val="0"/>
          <w:numId w:val="2"/>
        </w:numPr>
        <w:rPr>
          <w:b/>
        </w:rPr>
      </w:pPr>
      <w:r w:rsidRPr="00B934CD">
        <w:rPr>
          <w:b/>
        </w:rPr>
        <w:t xml:space="preserve">Calculez le chiffre d’affaires semestriel à atteindre pour réaliser un résultat de 8 %. </w:t>
      </w:r>
    </w:p>
    <w:p w14:paraId="3E0E0839" w14:textId="77777777" w:rsidR="00B934CD" w:rsidRDefault="00B934CD" w:rsidP="00B934CD">
      <w:pPr>
        <w:rPr>
          <w:b/>
        </w:rPr>
      </w:pPr>
    </w:p>
    <w:p w14:paraId="2D546F7F" w14:textId="77777777" w:rsidR="00B934CD" w:rsidRDefault="00B934CD" w:rsidP="00B934CD">
      <w:pPr>
        <w:rPr>
          <w:b/>
        </w:rPr>
      </w:pPr>
    </w:p>
    <w:p w14:paraId="6B4C3BF4" w14:textId="77777777" w:rsidR="00B934CD" w:rsidRPr="00B934CD" w:rsidRDefault="00B934CD" w:rsidP="00B934CD">
      <w:pPr>
        <w:rPr>
          <w:b/>
        </w:rPr>
      </w:pPr>
    </w:p>
    <w:p w14:paraId="0A7F6389" w14:textId="77777777" w:rsidR="00B934CD" w:rsidRPr="00B934CD" w:rsidRDefault="00B934CD" w:rsidP="00B934CD">
      <w:pPr>
        <w:pStyle w:val="Paragraphedeliste"/>
        <w:numPr>
          <w:ilvl w:val="0"/>
          <w:numId w:val="2"/>
        </w:numPr>
        <w:rPr>
          <w:b/>
        </w:rPr>
      </w:pPr>
      <w:r w:rsidRPr="00B934CD">
        <w:rPr>
          <w:b/>
        </w:rPr>
        <w:t>Présentez vos conclusions dans une note.</w:t>
      </w:r>
    </w:p>
    <w:p w14:paraId="643E4F85" w14:textId="77777777" w:rsidR="005B2FBF" w:rsidRPr="00AD67E1" w:rsidRDefault="005B2FBF" w:rsidP="005B2FBF">
      <w:pPr>
        <w:jc w:val="center"/>
        <w:rPr>
          <w:sz w:val="28"/>
        </w:rPr>
      </w:pPr>
    </w:p>
    <w:p w14:paraId="3C1EC823" w14:textId="77777777" w:rsidR="007162D6" w:rsidRDefault="007162D6" w:rsidP="007162D6">
      <w:pPr>
        <w:rPr>
          <w:b/>
          <w:sz w:val="28"/>
        </w:rPr>
      </w:pPr>
    </w:p>
    <w:p w14:paraId="5B35FFC8" w14:textId="77777777" w:rsidR="00FA0366" w:rsidRPr="007162D6" w:rsidRDefault="00FA0366" w:rsidP="007162D6"/>
    <w:sectPr w:rsidR="00FA0366" w:rsidRPr="007162D6" w:rsidSect="003A3C7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64E09"/>
    <w:multiLevelType w:val="hybridMultilevel"/>
    <w:tmpl w:val="D96C8D6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F3F0E"/>
    <w:multiLevelType w:val="hybridMultilevel"/>
    <w:tmpl w:val="85BE69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438897">
    <w:abstractNumId w:val="1"/>
  </w:num>
  <w:num w:numId="2" w16cid:durableId="169295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C9"/>
    <w:rsid w:val="00013058"/>
    <w:rsid w:val="003256D1"/>
    <w:rsid w:val="003A3C70"/>
    <w:rsid w:val="003F5468"/>
    <w:rsid w:val="005B2FBF"/>
    <w:rsid w:val="007162D6"/>
    <w:rsid w:val="00987E0F"/>
    <w:rsid w:val="009B3F3F"/>
    <w:rsid w:val="009B6299"/>
    <w:rsid w:val="00A60DB4"/>
    <w:rsid w:val="00AD17C9"/>
    <w:rsid w:val="00AD67E1"/>
    <w:rsid w:val="00B934CD"/>
    <w:rsid w:val="00F02053"/>
    <w:rsid w:val="00F36BC0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0D1A"/>
  <w15:chartTrackingRefBased/>
  <w15:docId w15:val="{20B64BBA-533D-4FB4-BE45-E3B81D4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C9"/>
    <w:pPr>
      <w:spacing w:before="120"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qFormat/>
    <w:rsid w:val="00AD17C9"/>
    <w:pPr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D67E1"/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4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AD67E1"/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D17C9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paragraph" w:styleId="Paragraphedeliste">
    <w:name w:val="List Paragraph"/>
    <w:basedOn w:val="Normal"/>
    <w:uiPriority w:val="99"/>
    <w:qFormat/>
    <w:rsid w:val="00AD17C9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1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semiHidden/>
    <w:rsid w:val="00AD67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AD67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D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2014-02-05T09:58:00Z</dcterms:created>
  <dcterms:modified xsi:type="dcterms:W3CDTF">2024-09-16T22:02:00Z</dcterms:modified>
</cp:coreProperties>
</file>