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31" w:type="dxa"/>
        <w:shd w:val="clear" w:color="auto" w:fill="92D050"/>
        <w:tblLook w:val="04A0" w:firstRow="1" w:lastRow="0" w:firstColumn="1" w:lastColumn="0" w:noHBand="0" w:noVBand="1"/>
      </w:tblPr>
      <w:tblGrid>
        <w:gridCol w:w="1526"/>
        <w:gridCol w:w="6298"/>
        <w:gridCol w:w="2207"/>
      </w:tblGrid>
      <w:tr w:rsidR="00554FAC" w:rsidRPr="00D031B2" w14:paraId="2CFB4059" w14:textId="77777777" w:rsidTr="00B67F71">
        <w:trPr>
          <w:trHeight w:val="386"/>
        </w:trPr>
        <w:tc>
          <w:tcPr>
            <w:tcW w:w="7824" w:type="dxa"/>
            <w:gridSpan w:val="2"/>
            <w:shd w:val="clear" w:color="auto" w:fill="92D050"/>
            <w:vAlign w:val="center"/>
          </w:tcPr>
          <w:p w14:paraId="62C21968" w14:textId="66301BC9" w:rsidR="00554FAC" w:rsidRPr="00F462E7" w:rsidRDefault="00554FAC" w:rsidP="00B67F71">
            <w:pPr>
              <w:pStyle w:val="Titre2"/>
              <w:spacing w:before="120"/>
              <w:jc w:val="center"/>
              <w:rPr>
                <w:rFonts w:cs="Arial"/>
                <w:szCs w:val="32"/>
              </w:rPr>
            </w:pPr>
            <w:r w:rsidRPr="00F462E7">
              <w:rPr>
                <w:rFonts w:cs="Arial"/>
                <w:szCs w:val="32"/>
              </w:rPr>
              <w:t xml:space="preserve">Mission 1 </w:t>
            </w:r>
            <w:r w:rsidR="0086714B">
              <w:rPr>
                <w:rFonts w:cs="Arial"/>
                <w:szCs w:val="32"/>
              </w:rPr>
              <w:t>–</w:t>
            </w:r>
            <w:r>
              <w:rPr>
                <w:rFonts w:cs="Arial"/>
                <w:szCs w:val="32"/>
              </w:rPr>
              <w:t xml:space="preserve"> </w:t>
            </w:r>
            <w:r w:rsidR="00044D9C">
              <w:rPr>
                <w:rFonts w:cs="Arial"/>
                <w:szCs w:val="32"/>
              </w:rPr>
              <w:t>C</w:t>
            </w:r>
            <w:r w:rsidR="0086714B">
              <w:rPr>
                <w:rFonts w:cs="Arial"/>
                <w:szCs w:val="32"/>
              </w:rPr>
              <w:t>alculer le seuil de rentabilité et le point mort</w:t>
            </w:r>
          </w:p>
        </w:tc>
        <w:tc>
          <w:tcPr>
            <w:tcW w:w="2207" w:type="dxa"/>
            <w:shd w:val="clear" w:color="auto" w:fill="92D050"/>
          </w:tcPr>
          <w:p w14:paraId="4B559328" w14:textId="77777777" w:rsidR="00554FAC" w:rsidRPr="00D031B2" w:rsidRDefault="00554FAC" w:rsidP="00B67F71">
            <w:pPr>
              <w:pStyle w:val="Titre2"/>
              <w:jc w:val="center"/>
              <w:rPr>
                <w:rFonts w:cs="Arial"/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4422A89" wp14:editId="49667933">
                  <wp:extent cx="1264285" cy="536575"/>
                  <wp:effectExtent l="0" t="0" r="0" b="0"/>
                  <wp:docPr id="19" name="Image 19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FAC" w:rsidRPr="00F61A77" w14:paraId="497D340E" w14:textId="77777777" w:rsidTr="00B67F71">
        <w:trPr>
          <w:trHeight w:val="504"/>
        </w:trPr>
        <w:tc>
          <w:tcPr>
            <w:tcW w:w="1526" w:type="dxa"/>
            <w:shd w:val="clear" w:color="auto" w:fill="92D050"/>
            <w:vAlign w:val="center"/>
          </w:tcPr>
          <w:p w14:paraId="3DE04F81" w14:textId="32413653" w:rsidR="00554FAC" w:rsidRPr="00F61A77" w:rsidRDefault="00554FAC" w:rsidP="00B67F71">
            <w:pPr>
              <w:rPr>
                <w:color w:val="000000" w:themeColor="text1"/>
                <w:szCs w:val="22"/>
              </w:rPr>
            </w:pPr>
            <w:r w:rsidRPr="00F61A77">
              <w:rPr>
                <w:b/>
                <w:color w:val="000000" w:themeColor="text1"/>
                <w:szCs w:val="22"/>
              </w:rPr>
              <w:t>Durée</w:t>
            </w:r>
            <w:r w:rsidRPr="00F61A77">
              <w:rPr>
                <w:color w:val="000000" w:themeColor="text1"/>
                <w:szCs w:val="22"/>
              </w:rPr>
              <w:t xml:space="preserve"> : </w:t>
            </w:r>
            <w:r w:rsidR="00F41C5D">
              <w:rPr>
                <w:color w:val="000000" w:themeColor="text1"/>
                <w:szCs w:val="22"/>
              </w:rPr>
              <w:t>5</w:t>
            </w:r>
            <w:r w:rsidR="0086714B">
              <w:rPr>
                <w:color w:val="000000" w:themeColor="text1"/>
                <w:szCs w:val="22"/>
              </w:rPr>
              <w:t>0</w:t>
            </w:r>
            <w:r>
              <w:rPr>
                <w:color w:val="000000" w:themeColor="text1"/>
                <w:szCs w:val="22"/>
              </w:rPr>
              <w:t>’</w:t>
            </w:r>
          </w:p>
        </w:tc>
        <w:tc>
          <w:tcPr>
            <w:tcW w:w="6298" w:type="dxa"/>
            <w:shd w:val="clear" w:color="auto" w:fill="92D050"/>
            <w:vAlign w:val="center"/>
          </w:tcPr>
          <w:p w14:paraId="6156D20A" w14:textId="13B153C3" w:rsidR="00554FAC" w:rsidRPr="00F61A77" w:rsidRDefault="00044D9C" w:rsidP="00B67F71">
            <w:pPr>
              <w:jc w:val="center"/>
              <w:rPr>
                <w:color w:val="000000" w:themeColor="text1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4E72AEC" wp14:editId="0366535D">
                  <wp:extent cx="324000" cy="324000"/>
                  <wp:effectExtent l="0" t="0" r="0" b="0"/>
                  <wp:docPr id="12521168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121409" name="Graphique 1458121409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0798D009" wp14:editId="0C71940F">
                  <wp:extent cx="357517" cy="324000"/>
                  <wp:effectExtent l="0" t="0" r="0" b="0"/>
                  <wp:docPr id="213202963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895826" name="Graphique 1497895826" descr="Deux hommes avec un remplissage uni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t="4514" b="4861"/>
                          <a:stretch/>
                        </pic:blipFill>
                        <pic:spPr bwMode="auto">
                          <a:xfrm>
                            <a:off x="0" y="0"/>
                            <a:ext cx="357517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shd w:val="clear" w:color="auto" w:fill="92D050"/>
            <w:vAlign w:val="center"/>
          </w:tcPr>
          <w:p w14:paraId="5AC4C317" w14:textId="77777777" w:rsidR="00554FAC" w:rsidRPr="00F61A77" w:rsidRDefault="00554FAC" w:rsidP="00B67F71">
            <w:pPr>
              <w:jc w:val="center"/>
              <w:rPr>
                <w:color w:val="000000" w:themeColor="text1"/>
                <w:szCs w:val="22"/>
              </w:rPr>
            </w:pPr>
            <w:r w:rsidRPr="00F61A77">
              <w:rPr>
                <w:color w:val="000000" w:themeColor="text1"/>
                <w:szCs w:val="22"/>
              </w:rPr>
              <w:t>Source | Excel</w:t>
            </w:r>
          </w:p>
        </w:tc>
      </w:tr>
    </w:tbl>
    <w:p w14:paraId="6342C9BC" w14:textId="77777777" w:rsidR="00554FAC" w:rsidRPr="00F462E7" w:rsidRDefault="00554FAC" w:rsidP="00554FAC">
      <w:pPr>
        <w:spacing w:before="240"/>
        <w:rPr>
          <w:rFonts w:cs="Arial"/>
          <w:b/>
          <w:sz w:val="24"/>
          <w:szCs w:val="32"/>
        </w:rPr>
      </w:pPr>
      <w:r w:rsidRPr="00F462E7">
        <w:rPr>
          <w:rFonts w:cs="Arial"/>
          <w:b/>
          <w:sz w:val="24"/>
          <w:szCs w:val="32"/>
        </w:rPr>
        <w:t>Contexte professionnel</w:t>
      </w:r>
    </w:p>
    <w:p w14:paraId="528FC6A7" w14:textId="7DB7658D" w:rsidR="000666C1" w:rsidRPr="002E603D" w:rsidRDefault="000666C1" w:rsidP="000666C1">
      <w:pPr>
        <w:spacing w:before="120" w:after="120"/>
        <w:rPr>
          <w:rFonts w:cs="Arial"/>
        </w:rPr>
      </w:pPr>
      <w:r w:rsidRPr="002E603D">
        <w:rPr>
          <w:rFonts w:cs="Arial"/>
        </w:rPr>
        <w:t xml:space="preserve">M. </w:t>
      </w:r>
      <w:r w:rsidR="00554FAC">
        <w:rPr>
          <w:rFonts w:cs="Arial"/>
        </w:rPr>
        <w:t>Sacardi</w:t>
      </w:r>
      <w:r w:rsidRPr="002E603D">
        <w:rPr>
          <w:rFonts w:cs="Arial"/>
        </w:rPr>
        <w:t xml:space="preserve"> vous remet le c</w:t>
      </w:r>
      <w:r>
        <w:rPr>
          <w:rFonts w:cs="Arial"/>
        </w:rPr>
        <w:t>ompte de ré</w:t>
      </w:r>
      <w:r w:rsidRPr="002E603D">
        <w:rPr>
          <w:rFonts w:cs="Arial"/>
        </w:rPr>
        <w:t xml:space="preserve">sultat de la société </w:t>
      </w:r>
      <w:r>
        <w:rPr>
          <w:rFonts w:cs="Arial"/>
        </w:rPr>
        <w:t>ainsi qu’une étude sur la répartition des charges selon leur variabilité. Il souhaite connaitre le seuil de ren</w:t>
      </w:r>
      <w:r w:rsidRPr="002E603D">
        <w:rPr>
          <w:rFonts w:cs="Arial"/>
        </w:rPr>
        <w:t>tabilité et la date à laquelle il a été atteint</w:t>
      </w:r>
      <w:r>
        <w:rPr>
          <w:rFonts w:cs="Arial"/>
        </w:rPr>
        <w:t>.</w:t>
      </w:r>
    </w:p>
    <w:tbl>
      <w:tblPr>
        <w:tblW w:w="84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2662"/>
        <w:gridCol w:w="1191"/>
        <w:gridCol w:w="741"/>
        <w:gridCol w:w="2011"/>
        <w:gridCol w:w="1191"/>
      </w:tblGrid>
      <w:tr w:rsidR="000666C1" w:rsidRPr="002E603D" w14:paraId="479255A7" w14:textId="77777777" w:rsidTr="00554FAC">
        <w:trPr>
          <w:trHeight w:val="289"/>
          <w:jc w:val="center"/>
        </w:trPr>
        <w:tc>
          <w:tcPr>
            <w:tcW w:w="8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C4C3A4" w14:textId="77777777" w:rsidR="000666C1" w:rsidRPr="002E603D" w:rsidRDefault="000666C1" w:rsidP="00C15E60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2E603D">
              <w:rPr>
                <w:rFonts w:cs="Arial"/>
                <w:b/>
                <w:bCs/>
                <w:color w:val="000000"/>
                <w:szCs w:val="20"/>
              </w:rPr>
              <w:t>Compte de résultat</w:t>
            </w:r>
          </w:p>
        </w:tc>
      </w:tr>
      <w:tr w:rsidR="000666C1" w:rsidRPr="002E603D" w14:paraId="1FB6EBA7" w14:textId="77777777" w:rsidTr="00554FAC">
        <w:trPr>
          <w:trHeight w:val="28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ECB0DF" w14:textId="77777777" w:rsidR="000666C1" w:rsidRPr="002E603D" w:rsidRDefault="000666C1" w:rsidP="00C15E6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b/>
                <w:bCs/>
                <w:color w:val="000000"/>
                <w:sz w:val="18"/>
                <w:szCs w:val="20"/>
              </w:rPr>
              <w:t>N°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4A469C" w14:textId="77777777" w:rsidR="000666C1" w:rsidRPr="002E603D" w:rsidRDefault="000666C1" w:rsidP="00C15E6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b/>
                <w:bCs/>
                <w:color w:val="000000"/>
                <w:sz w:val="18"/>
                <w:szCs w:val="20"/>
              </w:rPr>
              <w:t>Compte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83A237" w14:textId="77777777" w:rsidR="000666C1" w:rsidRPr="002E603D" w:rsidRDefault="000666C1" w:rsidP="00C15E6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b/>
                <w:bCs/>
                <w:color w:val="000000"/>
                <w:sz w:val="18"/>
                <w:szCs w:val="20"/>
              </w:rPr>
              <w:t>Montant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F30620" w14:textId="77777777" w:rsidR="000666C1" w:rsidRPr="002E603D" w:rsidRDefault="000666C1" w:rsidP="00C15E6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b/>
                <w:bCs/>
                <w:color w:val="000000"/>
                <w:sz w:val="18"/>
                <w:szCs w:val="20"/>
              </w:rPr>
              <w:t>N°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3ED3EA" w14:textId="77777777" w:rsidR="000666C1" w:rsidRPr="002E603D" w:rsidRDefault="000666C1" w:rsidP="00C15E6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b/>
                <w:bCs/>
                <w:color w:val="000000"/>
                <w:sz w:val="18"/>
                <w:szCs w:val="20"/>
              </w:rPr>
              <w:t>Comptes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548D21" w14:textId="77777777" w:rsidR="000666C1" w:rsidRPr="002E603D" w:rsidRDefault="000666C1" w:rsidP="00C15E6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b/>
                <w:bCs/>
                <w:color w:val="000000"/>
                <w:sz w:val="18"/>
                <w:szCs w:val="20"/>
              </w:rPr>
              <w:t>Montant</w:t>
            </w:r>
          </w:p>
        </w:tc>
      </w:tr>
      <w:tr w:rsidR="000666C1" w:rsidRPr="002E603D" w14:paraId="47DE08A2" w14:textId="77777777" w:rsidTr="00554FAC">
        <w:trPr>
          <w:trHeight w:val="28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3624" w14:textId="77777777" w:rsidR="000666C1" w:rsidRPr="002E603D" w:rsidRDefault="000666C1" w:rsidP="00C15E60">
            <w:pPr>
              <w:jc w:val="center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60100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E010" w14:textId="77777777" w:rsidR="000666C1" w:rsidRPr="002E603D" w:rsidRDefault="000666C1" w:rsidP="00C15E60">
            <w:pPr>
              <w:jc w:val="both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Achats produits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AF9D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250 000 €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DFCB" w14:textId="77777777" w:rsidR="000666C1" w:rsidRPr="002E603D" w:rsidRDefault="000666C1" w:rsidP="00C15E60">
            <w:pPr>
              <w:jc w:val="center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70100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4CB5" w14:textId="77777777" w:rsidR="000666C1" w:rsidRPr="002E603D" w:rsidRDefault="000666C1" w:rsidP="00C15E60">
            <w:pPr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Ventes produits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8D0D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460 000 €</w:t>
            </w:r>
          </w:p>
        </w:tc>
      </w:tr>
      <w:tr w:rsidR="000666C1" w:rsidRPr="002E603D" w14:paraId="2060C411" w14:textId="77777777" w:rsidTr="00554FAC">
        <w:trPr>
          <w:trHeight w:val="28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11AF" w14:textId="77777777" w:rsidR="000666C1" w:rsidRPr="002E603D" w:rsidRDefault="000666C1" w:rsidP="00C15E60">
            <w:pPr>
              <w:jc w:val="center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60700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3074" w14:textId="77777777" w:rsidR="000666C1" w:rsidRPr="002E603D" w:rsidRDefault="000666C1" w:rsidP="00C15E60">
            <w:pPr>
              <w:jc w:val="both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Achat de marchandises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AFBB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180 000 €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4764" w14:textId="77777777" w:rsidR="000666C1" w:rsidRPr="002E603D" w:rsidRDefault="000666C1" w:rsidP="00C15E60">
            <w:pPr>
              <w:jc w:val="center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70500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927B" w14:textId="14C172AB" w:rsidR="000666C1" w:rsidRPr="002E603D" w:rsidRDefault="00044D9C" w:rsidP="00C15E60">
            <w:pPr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Études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59A3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190 000 €</w:t>
            </w:r>
          </w:p>
        </w:tc>
      </w:tr>
      <w:tr w:rsidR="000666C1" w:rsidRPr="002E603D" w14:paraId="24CCC1A6" w14:textId="77777777" w:rsidTr="00554FAC">
        <w:trPr>
          <w:trHeight w:val="31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91C6" w14:textId="77777777" w:rsidR="000666C1" w:rsidRPr="002E603D" w:rsidRDefault="000666C1" w:rsidP="00C15E60">
            <w:pPr>
              <w:jc w:val="center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60610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2B5A" w14:textId="77777777" w:rsidR="000666C1" w:rsidRPr="002E603D" w:rsidRDefault="000666C1" w:rsidP="00C15E60">
            <w:pPr>
              <w:jc w:val="both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Électricité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EE0C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35 000 €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E760" w14:textId="77777777" w:rsidR="000666C1" w:rsidRPr="002E603D" w:rsidRDefault="000666C1" w:rsidP="00C15E60">
            <w:pPr>
              <w:jc w:val="center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70600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1D5F" w14:textId="77777777" w:rsidR="000666C1" w:rsidRPr="002E603D" w:rsidRDefault="000666C1" w:rsidP="00C15E60">
            <w:pPr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Prestation de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BB01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560 000 €</w:t>
            </w:r>
          </w:p>
        </w:tc>
      </w:tr>
      <w:tr w:rsidR="000666C1" w:rsidRPr="002E603D" w14:paraId="339C9151" w14:textId="77777777" w:rsidTr="00554FAC">
        <w:trPr>
          <w:trHeight w:val="30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BE31" w14:textId="77777777" w:rsidR="000666C1" w:rsidRPr="002E603D" w:rsidRDefault="000666C1" w:rsidP="00C15E60">
            <w:pPr>
              <w:jc w:val="center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60640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432E" w14:textId="77777777" w:rsidR="000666C1" w:rsidRPr="002E603D" w:rsidRDefault="000666C1" w:rsidP="00C15E60">
            <w:pPr>
              <w:jc w:val="both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Fournitures administratives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0C55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15 000 €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03CD" w14:textId="77777777" w:rsidR="000666C1" w:rsidRPr="002E603D" w:rsidRDefault="000666C1" w:rsidP="00C15E60">
            <w:pPr>
              <w:jc w:val="center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70700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B11B" w14:textId="77777777" w:rsidR="000666C1" w:rsidRPr="002E603D" w:rsidRDefault="000666C1" w:rsidP="00C15E60">
            <w:pPr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Ventes marchandises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2649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350 000 €</w:t>
            </w:r>
          </w:p>
        </w:tc>
      </w:tr>
      <w:tr w:rsidR="000666C1" w:rsidRPr="002E603D" w14:paraId="49A432A9" w14:textId="77777777" w:rsidTr="00554FAC">
        <w:trPr>
          <w:trHeight w:val="28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9F41" w14:textId="77777777" w:rsidR="000666C1" w:rsidRPr="002E603D" w:rsidRDefault="000666C1" w:rsidP="00C15E60">
            <w:pPr>
              <w:jc w:val="center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61550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3762" w14:textId="77777777" w:rsidR="000666C1" w:rsidRPr="002E603D" w:rsidRDefault="000666C1" w:rsidP="00C15E60">
            <w:pPr>
              <w:jc w:val="both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Entretien et réparation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A256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18 000 €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A146" w14:textId="77777777" w:rsidR="000666C1" w:rsidRPr="002E603D" w:rsidRDefault="000666C1" w:rsidP="00C15E60">
            <w:pPr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C0B6" w14:textId="77777777" w:rsidR="000666C1" w:rsidRPr="002E603D" w:rsidRDefault="000666C1" w:rsidP="00C15E60">
            <w:pPr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EE7F" w14:textId="77777777" w:rsidR="000666C1" w:rsidRPr="002E603D" w:rsidRDefault="000666C1" w:rsidP="00C15E60">
            <w:pPr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</w:tr>
      <w:tr w:rsidR="000666C1" w:rsidRPr="002E603D" w14:paraId="12F23182" w14:textId="77777777" w:rsidTr="00554FAC">
        <w:trPr>
          <w:trHeight w:val="28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63E6" w14:textId="77777777" w:rsidR="000666C1" w:rsidRPr="002E603D" w:rsidRDefault="000666C1" w:rsidP="00C15E60">
            <w:pPr>
              <w:jc w:val="center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61600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349C" w14:textId="77777777" w:rsidR="000666C1" w:rsidRPr="002E603D" w:rsidRDefault="000666C1" w:rsidP="00C15E60">
            <w:pPr>
              <w:jc w:val="both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Assurances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3E81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23 000 €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C230" w14:textId="77777777" w:rsidR="000666C1" w:rsidRPr="002E603D" w:rsidRDefault="000666C1" w:rsidP="00C15E60">
            <w:pPr>
              <w:jc w:val="center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97DC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A664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</w:tr>
      <w:tr w:rsidR="000666C1" w:rsidRPr="002E603D" w14:paraId="429037DC" w14:textId="77777777" w:rsidTr="00554FAC">
        <w:trPr>
          <w:trHeight w:val="28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0045" w14:textId="77777777" w:rsidR="000666C1" w:rsidRPr="002E603D" w:rsidRDefault="000666C1" w:rsidP="00C15E60">
            <w:pPr>
              <w:jc w:val="center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62300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522C" w14:textId="77777777" w:rsidR="000666C1" w:rsidRPr="002E603D" w:rsidRDefault="000666C1" w:rsidP="00C15E60">
            <w:pPr>
              <w:jc w:val="both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Frais de publicité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4C9B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32 000 €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C26E" w14:textId="77777777" w:rsidR="000666C1" w:rsidRPr="002E603D" w:rsidRDefault="000666C1" w:rsidP="00C15E60">
            <w:pPr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D3FE" w14:textId="77777777" w:rsidR="000666C1" w:rsidRPr="002E603D" w:rsidRDefault="000666C1" w:rsidP="00C15E60">
            <w:pPr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B5E7" w14:textId="77777777" w:rsidR="000666C1" w:rsidRPr="002E603D" w:rsidRDefault="000666C1" w:rsidP="00C15E60">
            <w:pPr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</w:tr>
      <w:tr w:rsidR="000666C1" w:rsidRPr="002E603D" w14:paraId="3F8C983E" w14:textId="77777777" w:rsidTr="00554FAC">
        <w:trPr>
          <w:trHeight w:val="30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BDB4" w14:textId="77777777" w:rsidR="000666C1" w:rsidRPr="002E603D" w:rsidRDefault="000666C1" w:rsidP="00C15E60">
            <w:pPr>
              <w:jc w:val="center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62401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6083" w14:textId="77777777" w:rsidR="000666C1" w:rsidRPr="002E603D" w:rsidRDefault="000666C1" w:rsidP="00C15E60">
            <w:pPr>
              <w:jc w:val="both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 xml:space="preserve">Frais de transport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24F6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15 500 €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9AA7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D5BA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3157" w14:textId="77777777" w:rsidR="000666C1" w:rsidRPr="002E603D" w:rsidRDefault="000666C1" w:rsidP="00C15E60">
            <w:pPr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</w:tr>
      <w:tr w:rsidR="000666C1" w:rsidRPr="002E603D" w14:paraId="4126A698" w14:textId="77777777" w:rsidTr="00554FAC">
        <w:trPr>
          <w:trHeight w:val="28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60DD" w14:textId="77777777" w:rsidR="000666C1" w:rsidRPr="002E603D" w:rsidRDefault="000666C1" w:rsidP="00C15E60">
            <w:pPr>
              <w:jc w:val="center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62500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A5B2" w14:textId="77777777" w:rsidR="000666C1" w:rsidRPr="002E603D" w:rsidRDefault="000666C1" w:rsidP="00C15E60">
            <w:pPr>
              <w:jc w:val="both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Missions, réception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8C56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18 000 €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7D95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9BC4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717D" w14:textId="77777777" w:rsidR="000666C1" w:rsidRPr="002E603D" w:rsidRDefault="000666C1" w:rsidP="00C15E60">
            <w:pPr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</w:tr>
      <w:tr w:rsidR="000666C1" w:rsidRPr="002E603D" w14:paraId="743E9898" w14:textId="77777777" w:rsidTr="00554FAC">
        <w:trPr>
          <w:trHeight w:val="28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FB6D" w14:textId="77777777" w:rsidR="000666C1" w:rsidRPr="002E603D" w:rsidRDefault="000666C1" w:rsidP="00C15E60">
            <w:pPr>
              <w:jc w:val="center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62600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2EC8" w14:textId="77777777" w:rsidR="000666C1" w:rsidRPr="002E603D" w:rsidRDefault="000666C1" w:rsidP="00C15E60">
            <w:pPr>
              <w:jc w:val="both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Frais postaux et télécoms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929D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6 800 €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675A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CB1F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65E3" w14:textId="77777777" w:rsidR="000666C1" w:rsidRPr="002E603D" w:rsidRDefault="000666C1" w:rsidP="00C15E60">
            <w:pPr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</w:tr>
      <w:tr w:rsidR="000666C1" w:rsidRPr="002E603D" w14:paraId="42AF4915" w14:textId="77777777" w:rsidTr="00554FAC">
        <w:trPr>
          <w:trHeight w:val="28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E4F9" w14:textId="77777777" w:rsidR="000666C1" w:rsidRPr="002E603D" w:rsidRDefault="000666C1" w:rsidP="00C15E60">
            <w:pPr>
              <w:jc w:val="center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62700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F1B6" w14:textId="77777777" w:rsidR="000666C1" w:rsidRPr="002E603D" w:rsidRDefault="000666C1" w:rsidP="00C15E60">
            <w:pPr>
              <w:jc w:val="both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Frais bancaires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9102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2 400 €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D4EB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F105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28C1" w14:textId="77777777" w:rsidR="000666C1" w:rsidRPr="002E603D" w:rsidRDefault="000666C1" w:rsidP="00C15E60">
            <w:pPr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</w:tr>
      <w:tr w:rsidR="000666C1" w:rsidRPr="002E603D" w14:paraId="46F1CA33" w14:textId="77777777" w:rsidTr="00554FAC">
        <w:trPr>
          <w:trHeight w:val="28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83B8" w14:textId="77777777" w:rsidR="000666C1" w:rsidRPr="002E603D" w:rsidRDefault="000666C1" w:rsidP="00C15E60">
            <w:pPr>
              <w:jc w:val="center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64110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0290" w14:textId="77777777" w:rsidR="000666C1" w:rsidRPr="002E603D" w:rsidRDefault="000666C1" w:rsidP="00C15E60">
            <w:pPr>
              <w:jc w:val="both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Salaires service achat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042F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102 000 €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6FEC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5320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DAC6" w14:textId="77777777" w:rsidR="000666C1" w:rsidRPr="002E603D" w:rsidRDefault="000666C1" w:rsidP="00C15E60">
            <w:pPr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</w:tr>
      <w:tr w:rsidR="000666C1" w:rsidRPr="002E603D" w14:paraId="48EC20D1" w14:textId="77777777" w:rsidTr="00554FAC">
        <w:trPr>
          <w:trHeight w:val="28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F26D" w14:textId="77777777" w:rsidR="000666C1" w:rsidRPr="002E603D" w:rsidRDefault="000666C1" w:rsidP="00C15E60">
            <w:pPr>
              <w:jc w:val="center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64120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08A7" w14:textId="77777777" w:rsidR="000666C1" w:rsidRPr="002E603D" w:rsidRDefault="000666C1" w:rsidP="00C15E60">
            <w:pPr>
              <w:jc w:val="both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Salaires production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CC53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263 000 €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8E73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CD30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6436" w14:textId="77777777" w:rsidR="000666C1" w:rsidRPr="002E603D" w:rsidRDefault="000666C1" w:rsidP="00C15E60">
            <w:pPr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</w:tr>
      <w:tr w:rsidR="000666C1" w:rsidRPr="002E603D" w14:paraId="58A1BB8D" w14:textId="77777777" w:rsidTr="00554FAC">
        <w:trPr>
          <w:trHeight w:val="28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CA6B" w14:textId="77777777" w:rsidR="000666C1" w:rsidRPr="002E603D" w:rsidRDefault="000666C1" w:rsidP="00C15E60">
            <w:pPr>
              <w:jc w:val="center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64130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3233" w14:textId="77777777" w:rsidR="000666C1" w:rsidRPr="002E603D" w:rsidRDefault="000666C1" w:rsidP="00C15E60">
            <w:pPr>
              <w:jc w:val="both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Salaires commerciaux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CBBB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135 000 €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B2DA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40F2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3F2E" w14:textId="77777777" w:rsidR="000666C1" w:rsidRPr="002E603D" w:rsidRDefault="000666C1" w:rsidP="00C15E60">
            <w:pPr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</w:tr>
      <w:tr w:rsidR="000666C1" w:rsidRPr="002E603D" w14:paraId="33AEC4B5" w14:textId="77777777" w:rsidTr="00554FAC">
        <w:trPr>
          <w:trHeight w:val="28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FA05" w14:textId="77777777" w:rsidR="000666C1" w:rsidRPr="002E603D" w:rsidRDefault="000666C1" w:rsidP="00C15E60">
            <w:pPr>
              <w:jc w:val="center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64140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7DF1" w14:textId="77777777" w:rsidR="000666C1" w:rsidRPr="002E603D" w:rsidRDefault="000666C1" w:rsidP="00C15E60">
            <w:pPr>
              <w:jc w:val="both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Salaires Administratif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3E26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183 000 €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091B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075B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10E4" w14:textId="77777777" w:rsidR="000666C1" w:rsidRPr="002E603D" w:rsidRDefault="000666C1" w:rsidP="00C15E60">
            <w:pPr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</w:tr>
      <w:tr w:rsidR="000666C1" w:rsidRPr="002E603D" w14:paraId="2BEA5798" w14:textId="77777777" w:rsidTr="00554FAC">
        <w:trPr>
          <w:trHeight w:val="28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3157" w14:textId="77777777" w:rsidR="000666C1" w:rsidRPr="002E603D" w:rsidRDefault="000666C1" w:rsidP="00C15E60">
            <w:pPr>
              <w:jc w:val="center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68100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AB6D" w14:textId="77777777" w:rsidR="000666C1" w:rsidRPr="002E603D" w:rsidRDefault="000666C1" w:rsidP="00C15E60">
            <w:pPr>
              <w:jc w:val="both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Dotations aux amortissements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3FBF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52 000 €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89B6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C064" w14:textId="77777777" w:rsidR="000666C1" w:rsidRPr="002E603D" w:rsidRDefault="000666C1" w:rsidP="00C15E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9BCA" w14:textId="77777777" w:rsidR="000666C1" w:rsidRPr="002E603D" w:rsidRDefault="000666C1" w:rsidP="00C15E60">
            <w:pPr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</w:tr>
      <w:tr w:rsidR="000666C1" w:rsidRPr="002E603D" w14:paraId="6B773A31" w14:textId="77777777" w:rsidTr="00554FAC">
        <w:trPr>
          <w:trHeight w:val="28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82F396F" w14:textId="77777777" w:rsidR="000666C1" w:rsidRPr="002E603D" w:rsidRDefault="000666C1" w:rsidP="00C15E60">
            <w:pPr>
              <w:jc w:val="right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6BB41A6" w14:textId="77777777" w:rsidR="000666C1" w:rsidRPr="002E603D" w:rsidRDefault="000666C1" w:rsidP="00C15E60">
            <w:pPr>
              <w:jc w:val="right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b/>
                <w:bCs/>
                <w:color w:val="000000"/>
                <w:sz w:val="18"/>
                <w:szCs w:val="20"/>
              </w:rPr>
              <w:t>Total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8D24D7A" w14:textId="77777777" w:rsidR="000666C1" w:rsidRPr="002E603D" w:rsidRDefault="000666C1" w:rsidP="00C15E60">
            <w:pPr>
              <w:jc w:val="right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b/>
                <w:bCs/>
                <w:color w:val="000000"/>
                <w:sz w:val="18"/>
                <w:szCs w:val="20"/>
              </w:rPr>
              <w:t>1 330 700 €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6F328CC" w14:textId="77777777" w:rsidR="000666C1" w:rsidRPr="002E603D" w:rsidRDefault="000666C1" w:rsidP="00C15E60">
            <w:pPr>
              <w:jc w:val="right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970EE1B" w14:textId="77777777" w:rsidR="000666C1" w:rsidRPr="002E603D" w:rsidRDefault="000666C1" w:rsidP="00C15E60">
            <w:pPr>
              <w:jc w:val="right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b/>
                <w:bCs/>
                <w:color w:val="000000"/>
                <w:sz w:val="18"/>
                <w:szCs w:val="20"/>
              </w:rPr>
              <w:t>Total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C6B4D09" w14:textId="77777777" w:rsidR="000666C1" w:rsidRPr="002E603D" w:rsidRDefault="000666C1" w:rsidP="00C15E60">
            <w:pPr>
              <w:jc w:val="right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b/>
                <w:bCs/>
                <w:color w:val="000000"/>
                <w:sz w:val="18"/>
                <w:szCs w:val="20"/>
              </w:rPr>
              <w:t>1 560 000 €</w:t>
            </w:r>
          </w:p>
        </w:tc>
      </w:tr>
      <w:tr w:rsidR="000666C1" w:rsidRPr="002E603D" w14:paraId="5E51704E" w14:textId="77777777" w:rsidTr="00554FAC">
        <w:trPr>
          <w:trHeight w:val="28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800679B" w14:textId="77777777" w:rsidR="000666C1" w:rsidRPr="002E603D" w:rsidRDefault="000666C1" w:rsidP="00C15E60">
            <w:pPr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2937E40" w14:textId="77777777" w:rsidR="000666C1" w:rsidRPr="002E603D" w:rsidRDefault="000666C1" w:rsidP="00C15E60">
            <w:pPr>
              <w:jc w:val="right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b/>
                <w:bCs/>
                <w:color w:val="000000"/>
                <w:sz w:val="18"/>
                <w:szCs w:val="20"/>
              </w:rPr>
              <w:t>Bénéfice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F5F2808" w14:textId="77777777" w:rsidR="000666C1" w:rsidRPr="002E603D" w:rsidRDefault="000666C1" w:rsidP="00C15E60">
            <w:pPr>
              <w:jc w:val="right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b/>
                <w:bCs/>
                <w:color w:val="000000"/>
                <w:sz w:val="18"/>
                <w:szCs w:val="20"/>
              </w:rPr>
              <w:t>229 300 €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08F7905" w14:textId="77777777" w:rsidR="000666C1" w:rsidRPr="002E603D" w:rsidRDefault="000666C1" w:rsidP="00C15E60">
            <w:pPr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B22A4E9" w14:textId="77777777" w:rsidR="000666C1" w:rsidRPr="002E603D" w:rsidRDefault="000666C1" w:rsidP="00C15E60">
            <w:pPr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B1D4E4A" w14:textId="77777777" w:rsidR="000666C1" w:rsidRPr="002E603D" w:rsidRDefault="000666C1" w:rsidP="00C15E60">
            <w:pPr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b/>
                <w:bCs/>
                <w:color w:val="000000"/>
                <w:sz w:val="18"/>
                <w:szCs w:val="20"/>
              </w:rPr>
              <w:t> </w:t>
            </w:r>
          </w:p>
        </w:tc>
      </w:tr>
      <w:tr w:rsidR="000666C1" w:rsidRPr="002E603D" w14:paraId="675524F3" w14:textId="77777777" w:rsidTr="00554FAC">
        <w:trPr>
          <w:trHeight w:val="28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54E5140" w14:textId="77777777" w:rsidR="000666C1" w:rsidRPr="002E603D" w:rsidRDefault="000666C1" w:rsidP="00C15E60">
            <w:pPr>
              <w:rPr>
                <w:rFonts w:cs="Arial"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88FFA30" w14:textId="77777777" w:rsidR="000666C1" w:rsidRPr="002E603D" w:rsidRDefault="000666C1" w:rsidP="00C15E60">
            <w:pPr>
              <w:jc w:val="right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b/>
                <w:bCs/>
                <w:color w:val="000000"/>
                <w:sz w:val="18"/>
                <w:szCs w:val="20"/>
              </w:rPr>
              <w:t>Total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67DD9AF" w14:textId="77777777" w:rsidR="000666C1" w:rsidRPr="002E603D" w:rsidRDefault="000666C1" w:rsidP="00C15E60">
            <w:pPr>
              <w:jc w:val="right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b/>
                <w:bCs/>
                <w:color w:val="000000"/>
                <w:sz w:val="18"/>
                <w:szCs w:val="20"/>
              </w:rPr>
              <w:t>1 560 000 €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514C4AC" w14:textId="77777777" w:rsidR="000666C1" w:rsidRPr="002E603D" w:rsidRDefault="000666C1" w:rsidP="00C15E60">
            <w:pPr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8C9D9DE" w14:textId="77777777" w:rsidR="000666C1" w:rsidRPr="002E603D" w:rsidRDefault="000666C1" w:rsidP="00C15E60">
            <w:pPr>
              <w:jc w:val="right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b/>
                <w:bCs/>
                <w:color w:val="000000"/>
                <w:sz w:val="18"/>
                <w:szCs w:val="20"/>
              </w:rPr>
              <w:t>Total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2B7FC42" w14:textId="77777777" w:rsidR="000666C1" w:rsidRPr="002E603D" w:rsidRDefault="000666C1" w:rsidP="00C15E60">
            <w:pPr>
              <w:jc w:val="right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2E603D">
              <w:rPr>
                <w:rFonts w:cs="Arial"/>
                <w:b/>
                <w:bCs/>
                <w:color w:val="000000"/>
                <w:sz w:val="18"/>
                <w:szCs w:val="20"/>
              </w:rPr>
              <w:t>1 560 000 €</w:t>
            </w:r>
          </w:p>
        </w:tc>
      </w:tr>
    </w:tbl>
    <w:p w14:paraId="4877683A" w14:textId="77777777" w:rsidR="000666C1" w:rsidRDefault="000666C1" w:rsidP="000666C1">
      <w:pPr>
        <w:rPr>
          <w:rFonts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658"/>
      </w:tblGrid>
      <w:tr w:rsidR="000666C1" w:rsidRPr="008D179A" w14:paraId="4C8E4938" w14:textId="77777777" w:rsidTr="00F41C5D">
        <w:trPr>
          <w:jc w:val="center"/>
        </w:trPr>
        <w:tc>
          <w:tcPr>
            <w:tcW w:w="6658" w:type="dxa"/>
            <w:shd w:val="clear" w:color="auto" w:fill="FFFF00"/>
          </w:tcPr>
          <w:p w14:paraId="27E663C5" w14:textId="77777777" w:rsidR="000666C1" w:rsidRPr="008D179A" w:rsidRDefault="000666C1" w:rsidP="00C15E60">
            <w:pPr>
              <w:spacing w:before="120" w:after="120"/>
              <w:jc w:val="center"/>
              <w:rPr>
                <w:rFonts w:cs="Arial"/>
                <w:b/>
              </w:rPr>
            </w:pPr>
            <w:r w:rsidRPr="008D179A">
              <w:rPr>
                <w:rFonts w:cs="Arial"/>
                <w:b/>
              </w:rPr>
              <w:t>Répartition des charges selon leur variabilité</w:t>
            </w:r>
          </w:p>
        </w:tc>
      </w:tr>
      <w:tr w:rsidR="000666C1" w:rsidRPr="008D179A" w14:paraId="36905FC6" w14:textId="77777777" w:rsidTr="00F41C5D">
        <w:trPr>
          <w:jc w:val="center"/>
        </w:trPr>
        <w:tc>
          <w:tcPr>
            <w:tcW w:w="6658" w:type="dxa"/>
          </w:tcPr>
          <w:p w14:paraId="099BBC38" w14:textId="77777777" w:rsidR="000666C1" w:rsidRPr="008D179A" w:rsidRDefault="000666C1" w:rsidP="00F41C5D">
            <w:pPr>
              <w:pStyle w:val="Paragraphedeliste"/>
              <w:numPr>
                <w:ilvl w:val="0"/>
                <w:numId w:val="2"/>
              </w:numPr>
              <w:spacing w:before="40" w:after="40"/>
              <w:ind w:left="142" w:hanging="142"/>
              <w:rPr>
                <w:rFonts w:cs="Arial"/>
                <w:color w:val="000000"/>
                <w:szCs w:val="16"/>
              </w:rPr>
            </w:pPr>
            <w:r w:rsidRPr="008D179A">
              <w:rPr>
                <w:rFonts w:cs="Arial"/>
                <w:color w:val="000000" w:themeColor="text1"/>
                <w:szCs w:val="16"/>
              </w:rPr>
              <w:t>Achat de marchandises </w:t>
            </w:r>
            <w:r>
              <w:rPr>
                <w:rFonts w:cs="Arial"/>
                <w:color w:val="000000" w:themeColor="text1"/>
                <w:szCs w:val="16"/>
              </w:rPr>
              <w:t xml:space="preserve">et de produits </w:t>
            </w:r>
            <w:r w:rsidRPr="008D179A">
              <w:rPr>
                <w:rFonts w:cs="Arial"/>
                <w:color w:val="000000" w:themeColor="text1"/>
                <w:szCs w:val="16"/>
              </w:rPr>
              <w:t xml:space="preserve">: </w:t>
            </w:r>
            <w:r w:rsidRPr="008D179A">
              <w:rPr>
                <w:rFonts w:cs="Arial"/>
                <w:color w:val="000000"/>
                <w:szCs w:val="16"/>
              </w:rPr>
              <w:t>100 % variables</w:t>
            </w:r>
          </w:p>
        </w:tc>
      </w:tr>
      <w:tr w:rsidR="000666C1" w:rsidRPr="008D179A" w14:paraId="17B8A0AA" w14:textId="77777777" w:rsidTr="00F41C5D">
        <w:trPr>
          <w:jc w:val="center"/>
        </w:trPr>
        <w:tc>
          <w:tcPr>
            <w:tcW w:w="6658" w:type="dxa"/>
          </w:tcPr>
          <w:p w14:paraId="5BB707F1" w14:textId="77777777" w:rsidR="000666C1" w:rsidRPr="008D179A" w:rsidRDefault="000666C1" w:rsidP="00F41C5D">
            <w:pPr>
              <w:pStyle w:val="Paragraphedeliste"/>
              <w:numPr>
                <w:ilvl w:val="0"/>
                <w:numId w:val="2"/>
              </w:numPr>
              <w:spacing w:before="40" w:after="40"/>
              <w:ind w:left="142" w:hanging="142"/>
              <w:rPr>
                <w:rFonts w:cs="Arial"/>
                <w:color w:val="000000"/>
                <w:szCs w:val="16"/>
              </w:rPr>
            </w:pPr>
            <w:r w:rsidRPr="008D179A">
              <w:rPr>
                <w:rFonts w:cs="Arial"/>
                <w:color w:val="000000" w:themeColor="text1"/>
                <w:szCs w:val="16"/>
              </w:rPr>
              <w:t xml:space="preserve">Électricité : </w:t>
            </w:r>
            <w:r w:rsidRPr="008D179A">
              <w:rPr>
                <w:rFonts w:cs="Arial"/>
                <w:color w:val="000000"/>
                <w:szCs w:val="16"/>
              </w:rPr>
              <w:t>80 % fixes</w:t>
            </w:r>
          </w:p>
        </w:tc>
      </w:tr>
      <w:tr w:rsidR="000666C1" w:rsidRPr="008D179A" w14:paraId="71B1DD37" w14:textId="77777777" w:rsidTr="00F41C5D">
        <w:trPr>
          <w:jc w:val="center"/>
        </w:trPr>
        <w:tc>
          <w:tcPr>
            <w:tcW w:w="6658" w:type="dxa"/>
          </w:tcPr>
          <w:p w14:paraId="20F853C1" w14:textId="77777777" w:rsidR="000666C1" w:rsidRPr="008D179A" w:rsidRDefault="000666C1" w:rsidP="00F41C5D">
            <w:pPr>
              <w:pStyle w:val="Paragraphedeliste"/>
              <w:numPr>
                <w:ilvl w:val="0"/>
                <w:numId w:val="2"/>
              </w:numPr>
              <w:spacing w:before="40" w:after="40"/>
              <w:ind w:left="142" w:hanging="142"/>
              <w:rPr>
                <w:rFonts w:cs="Arial"/>
                <w:color w:val="000000"/>
                <w:szCs w:val="16"/>
              </w:rPr>
            </w:pPr>
            <w:r w:rsidRPr="008D179A">
              <w:rPr>
                <w:rFonts w:cs="Arial"/>
                <w:color w:val="000000" w:themeColor="text1"/>
                <w:szCs w:val="16"/>
              </w:rPr>
              <w:t xml:space="preserve">Fournitures administratives : </w:t>
            </w:r>
            <w:r w:rsidRPr="008D179A">
              <w:rPr>
                <w:rFonts w:cs="Arial"/>
                <w:color w:val="000000"/>
                <w:szCs w:val="16"/>
              </w:rPr>
              <w:t>60 % fixes</w:t>
            </w:r>
          </w:p>
        </w:tc>
      </w:tr>
      <w:tr w:rsidR="000666C1" w:rsidRPr="008D179A" w14:paraId="0EC0DF6B" w14:textId="77777777" w:rsidTr="00F41C5D">
        <w:trPr>
          <w:jc w:val="center"/>
        </w:trPr>
        <w:tc>
          <w:tcPr>
            <w:tcW w:w="6658" w:type="dxa"/>
          </w:tcPr>
          <w:p w14:paraId="4F807978" w14:textId="77777777" w:rsidR="000666C1" w:rsidRPr="008D179A" w:rsidRDefault="000666C1" w:rsidP="00F41C5D">
            <w:pPr>
              <w:pStyle w:val="Paragraphedeliste"/>
              <w:numPr>
                <w:ilvl w:val="0"/>
                <w:numId w:val="2"/>
              </w:numPr>
              <w:spacing w:before="40" w:after="40"/>
              <w:ind w:left="142" w:hanging="142"/>
              <w:rPr>
                <w:rFonts w:cs="Arial"/>
                <w:color w:val="000000"/>
                <w:szCs w:val="16"/>
              </w:rPr>
            </w:pPr>
            <w:r w:rsidRPr="008D179A">
              <w:rPr>
                <w:rFonts w:cs="Arial"/>
                <w:color w:val="000000" w:themeColor="text1"/>
                <w:szCs w:val="16"/>
              </w:rPr>
              <w:t xml:space="preserve">Entretien et réparation : </w:t>
            </w:r>
            <w:r w:rsidRPr="008D179A">
              <w:rPr>
                <w:rFonts w:cs="Arial"/>
                <w:color w:val="000000"/>
                <w:szCs w:val="16"/>
              </w:rPr>
              <w:t>70 % fixes</w:t>
            </w:r>
          </w:p>
        </w:tc>
      </w:tr>
      <w:tr w:rsidR="000666C1" w:rsidRPr="008D179A" w14:paraId="117C426A" w14:textId="77777777" w:rsidTr="00F41C5D">
        <w:trPr>
          <w:jc w:val="center"/>
        </w:trPr>
        <w:tc>
          <w:tcPr>
            <w:tcW w:w="6658" w:type="dxa"/>
          </w:tcPr>
          <w:p w14:paraId="1847B1CA" w14:textId="77777777" w:rsidR="000666C1" w:rsidRPr="008D179A" w:rsidRDefault="000666C1" w:rsidP="00F41C5D">
            <w:pPr>
              <w:pStyle w:val="Paragraphedeliste"/>
              <w:numPr>
                <w:ilvl w:val="0"/>
                <w:numId w:val="2"/>
              </w:numPr>
              <w:spacing w:before="40" w:after="40"/>
              <w:ind w:left="142" w:hanging="142"/>
              <w:rPr>
                <w:rFonts w:cs="Arial"/>
                <w:color w:val="000000"/>
                <w:szCs w:val="16"/>
              </w:rPr>
            </w:pPr>
            <w:r w:rsidRPr="008D179A">
              <w:rPr>
                <w:rFonts w:cs="Arial"/>
                <w:color w:val="000000" w:themeColor="text1"/>
                <w:szCs w:val="16"/>
              </w:rPr>
              <w:t>Assurances</w:t>
            </w:r>
            <w:r w:rsidRPr="008D179A">
              <w:rPr>
                <w:rFonts w:cs="Arial"/>
                <w:color w:val="000000"/>
                <w:szCs w:val="16"/>
              </w:rPr>
              <w:t> : 100 % fixes</w:t>
            </w:r>
          </w:p>
        </w:tc>
      </w:tr>
      <w:tr w:rsidR="000666C1" w:rsidRPr="008D179A" w14:paraId="6A77CBA3" w14:textId="77777777" w:rsidTr="00F41C5D">
        <w:trPr>
          <w:jc w:val="center"/>
        </w:trPr>
        <w:tc>
          <w:tcPr>
            <w:tcW w:w="6658" w:type="dxa"/>
          </w:tcPr>
          <w:p w14:paraId="670CA08A" w14:textId="77777777" w:rsidR="000666C1" w:rsidRPr="008D179A" w:rsidRDefault="000666C1" w:rsidP="00F41C5D">
            <w:pPr>
              <w:pStyle w:val="Paragraphedeliste"/>
              <w:numPr>
                <w:ilvl w:val="0"/>
                <w:numId w:val="2"/>
              </w:numPr>
              <w:spacing w:before="40" w:after="40"/>
              <w:ind w:left="142" w:hanging="142"/>
              <w:rPr>
                <w:rFonts w:cs="Arial"/>
                <w:color w:val="000000"/>
                <w:szCs w:val="16"/>
              </w:rPr>
            </w:pPr>
            <w:r w:rsidRPr="008D179A">
              <w:rPr>
                <w:rFonts w:cs="Arial"/>
                <w:color w:val="000000" w:themeColor="text1"/>
                <w:szCs w:val="16"/>
              </w:rPr>
              <w:t>Frais de publicité</w:t>
            </w:r>
            <w:r w:rsidRPr="008D179A">
              <w:rPr>
                <w:rFonts w:cs="Arial"/>
                <w:color w:val="000000"/>
                <w:szCs w:val="16"/>
              </w:rPr>
              <w:t> : 50 % fixes</w:t>
            </w:r>
          </w:p>
        </w:tc>
      </w:tr>
      <w:tr w:rsidR="000666C1" w:rsidRPr="008D179A" w14:paraId="7F7E2854" w14:textId="77777777" w:rsidTr="00F41C5D">
        <w:trPr>
          <w:jc w:val="center"/>
        </w:trPr>
        <w:tc>
          <w:tcPr>
            <w:tcW w:w="6658" w:type="dxa"/>
          </w:tcPr>
          <w:p w14:paraId="10CC0F93" w14:textId="77777777" w:rsidR="000666C1" w:rsidRPr="008D179A" w:rsidRDefault="000666C1" w:rsidP="00F41C5D">
            <w:pPr>
              <w:pStyle w:val="Paragraphedeliste"/>
              <w:numPr>
                <w:ilvl w:val="0"/>
                <w:numId w:val="2"/>
              </w:numPr>
              <w:spacing w:before="40" w:after="40"/>
              <w:ind w:left="142" w:hanging="142"/>
              <w:rPr>
                <w:rFonts w:cs="Arial"/>
                <w:color w:val="000000"/>
                <w:szCs w:val="16"/>
              </w:rPr>
            </w:pPr>
            <w:r w:rsidRPr="008D179A">
              <w:rPr>
                <w:rFonts w:cs="Arial"/>
                <w:color w:val="000000" w:themeColor="text1"/>
                <w:szCs w:val="16"/>
              </w:rPr>
              <w:t>Frais de transport </w:t>
            </w:r>
            <w:r w:rsidRPr="008D179A">
              <w:rPr>
                <w:rFonts w:cs="Arial"/>
                <w:color w:val="000000"/>
                <w:szCs w:val="16"/>
              </w:rPr>
              <w:t>: 100 % variables</w:t>
            </w:r>
          </w:p>
        </w:tc>
      </w:tr>
      <w:tr w:rsidR="000666C1" w:rsidRPr="008D179A" w14:paraId="574A13A0" w14:textId="77777777" w:rsidTr="00F41C5D">
        <w:trPr>
          <w:jc w:val="center"/>
        </w:trPr>
        <w:tc>
          <w:tcPr>
            <w:tcW w:w="6658" w:type="dxa"/>
          </w:tcPr>
          <w:p w14:paraId="25DE2BFB" w14:textId="77777777" w:rsidR="000666C1" w:rsidRPr="008D179A" w:rsidRDefault="000666C1" w:rsidP="00F41C5D">
            <w:pPr>
              <w:pStyle w:val="Paragraphedeliste"/>
              <w:numPr>
                <w:ilvl w:val="0"/>
                <w:numId w:val="2"/>
              </w:numPr>
              <w:spacing w:before="40" w:after="40"/>
              <w:ind w:left="142" w:hanging="142"/>
              <w:rPr>
                <w:rFonts w:cs="Arial"/>
                <w:color w:val="000000"/>
                <w:szCs w:val="16"/>
              </w:rPr>
            </w:pPr>
            <w:r w:rsidRPr="008D179A">
              <w:rPr>
                <w:rFonts w:cs="Arial"/>
                <w:color w:val="000000" w:themeColor="text1"/>
                <w:szCs w:val="16"/>
              </w:rPr>
              <w:t>Missions, réception</w:t>
            </w:r>
            <w:r w:rsidRPr="008D179A">
              <w:rPr>
                <w:rFonts w:cs="Arial"/>
                <w:color w:val="000000"/>
                <w:szCs w:val="16"/>
              </w:rPr>
              <w:t> : 90 % fixes</w:t>
            </w:r>
          </w:p>
        </w:tc>
      </w:tr>
      <w:tr w:rsidR="000666C1" w:rsidRPr="008D179A" w14:paraId="54EF0915" w14:textId="77777777" w:rsidTr="00F41C5D">
        <w:trPr>
          <w:jc w:val="center"/>
        </w:trPr>
        <w:tc>
          <w:tcPr>
            <w:tcW w:w="6658" w:type="dxa"/>
          </w:tcPr>
          <w:p w14:paraId="4FDFB9FD" w14:textId="77777777" w:rsidR="000666C1" w:rsidRPr="008D179A" w:rsidRDefault="000666C1" w:rsidP="00F41C5D">
            <w:pPr>
              <w:pStyle w:val="Paragraphedeliste"/>
              <w:numPr>
                <w:ilvl w:val="0"/>
                <w:numId w:val="2"/>
              </w:numPr>
              <w:spacing w:before="40" w:after="40"/>
              <w:ind w:left="142" w:hanging="142"/>
              <w:rPr>
                <w:rFonts w:cs="Arial"/>
                <w:color w:val="000000"/>
                <w:szCs w:val="16"/>
              </w:rPr>
            </w:pPr>
            <w:r w:rsidRPr="008D179A">
              <w:rPr>
                <w:rFonts w:cs="Arial"/>
                <w:color w:val="000000" w:themeColor="text1"/>
                <w:szCs w:val="16"/>
              </w:rPr>
              <w:t>Frais postaux et télécoms</w:t>
            </w:r>
            <w:r w:rsidRPr="008D179A">
              <w:rPr>
                <w:rFonts w:cs="Arial"/>
                <w:color w:val="000000"/>
                <w:szCs w:val="16"/>
              </w:rPr>
              <w:t xml:space="preserve"> : 20 % fixes </w:t>
            </w:r>
          </w:p>
        </w:tc>
      </w:tr>
      <w:tr w:rsidR="000666C1" w:rsidRPr="008D179A" w14:paraId="3251C7CA" w14:textId="77777777" w:rsidTr="00F41C5D">
        <w:trPr>
          <w:jc w:val="center"/>
        </w:trPr>
        <w:tc>
          <w:tcPr>
            <w:tcW w:w="6658" w:type="dxa"/>
          </w:tcPr>
          <w:p w14:paraId="713C533A" w14:textId="77777777" w:rsidR="000666C1" w:rsidRPr="008D179A" w:rsidRDefault="000666C1" w:rsidP="00F41C5D">
            <w:pPr>
              <w:pStyle w:val="Paragraphedeliste"/>
              <w:numPr>
                <w:ilvl w:val="0"/>
                <w:numId w:val="2"/>
              </w:numPr>
              <w:spacing w:before="40" w:after="40"/>
              <w:ind w:left="142" w:hanging="142"/>
              <w:rPr>
                <w:rFonts w:cs="Arial"/>
                <w:color w:val="000000"/>
                <w:szCs w:val="16"/>
              </w:rPr>
            </w:pPr>
            <w:r w:rsidRPr="008D179A">
              <w:rPr>
                <w:rFonts w:cs="Arial"/>
                <w:color w:val="000000" w:themeColor="text1"/>
                <w:szCs w:val="16"/>
              </w:rPr>
              <w:t>Frais bancaires</w:t>
            </w:r>
            <w:r w:rsidRPr="008D179A">
              <w:rPr>
                <w:rFonts w:cs="Arial"/>
                <w:color w:val="000000"/>
                <w:szCs w:val="16"/>
              </w:rPr>
              <w:t> : 100 % fixes</w:t>
            </w:r>
          </w:p>
        </w:tc>
      </w:tr>
      <w:tr w:rsidR="000666C1" w:rsidRPr="008D179A" w14:paraId="3A7CE9C3" w14:textId="77777777" w:rsidTr="00F41C5D">
        <w:trPr>
          <w:jc w:val="center"/>
        </w:trPr>
        <w:tc>
          <w:tcPr>
            <w:tcW w:w="6658" w:type="dxa"/>
          </w:tcPr>
          <w:p w14:paraId="066A63A2" w14:textId="77777777" w:rsidR="000666C1" w:rsidRPr="008D179A" w:rsidRDefault="000666C1" w:rsidP="00F41C5D">
            <w:pPr>
              <w:pStyle w:val="Paragraphedeliste"/>
              <w:numPr>
                <w:ilvl w:val="0"/>
                <w:numId w:val="2"/>
              </w:numPr>
              <w:spacing w:before="40" w:after="40"/>
              <w:ind w:left="142" w:hanging="142"/>
              <w:rPr>
                <w:rFonts w:cs="Arial"/>
                <w:color w:val="000000"/>
                <w:szCs w:val="16"/>
              </w:rPr>
            </w:pPr>
            <w:r w:rsidRPr="008D179A">
              <w:rPr>
                <w:rFonts w:cs="Arial"/>
                <w:color w:val="000000" w:themeColor="text1"/>
                <w:szCs w:val="16"/>
              </w:rPr>
              <w:t>Salaire service achat</w:t>
            </w:r>
            <w:r w:rsidRPr="008D179A">
              <w:rPr>
                <w:rFonts w:cs="Arial"/>
                <w:color w:val="000000"/>
                <w:szCs w:val="16"/>
              </w:rPr>
              <w:t> : 100 % variables</w:t>
            </w:r>
          </w:p>
        </w:tc>
      </w:tr>
      <w:tr w:rsidR="000666C1" w:rsidRPr="008D179A" w14:paraId="2FFD44DF" w14:textId="77777777" w:rsidTr="00F41C5D">
        <w:trPr>
          <w:jc w:val="center"/>
        </w:trPr>
        <w:tc>
          <w:tcPr>
            <w:tcW w:w="6658" w:type="dxa"/>
          </w:tcPr>
          <w:p w14:paraId="6520A23F" w14:textId="77777777" w:rsidR="000666C1" w:rsidRPr="008D179A" w:rsidRDefault="000666C1" w:rsidP="00F41C5D">
            <w:pPr>
              <w:pStyle w:val="Paragraphedeliste"/>
              <w:numPr>
                <w:ilvl w:val="0"/>
                <w:numId w:val="2"/>
              </w:numPr>
              <w:spacing w:before="40" w:after="40"/>
              <w:ind w:left="142" w:hanging="142"/>
              <w:rPr>
                <w:rFonts w:cs="Arial"/>
                <w:color w:val="000000" w:themeColor="text1"/>
                <w:szCs w:val="16"/>
              </w:rPr>
            </w:pPr>
            <w:r w:rsidRPr="008D179A">
              <w:rPr>
                <w:rFonts w:cs="Arial"/>
                <w:color w:val="000000" w:themeColor="text1"/>
                <w:szCs w:val="16"/>
              </w:rPr>
              <w:t xml:space="preserve">Salaire service </w:t>
            </w:r>
            <w:r>
              <w:rPr>
                <w:rFonts w:cs="Arial"/>
                <w:color w:val="000000" w:themeColor="text1"/>
                <w:szCs w:val="16"/>
              </w:rPr>
              <w:t>production</w:t>
            </w:r>
            <w:r>
              <w:rPr>
                <w:rFonts w:cs="Arial"/>
                <w:color w:val="000000"/>
                <w:szCs w:val="16"/>
              </w:rPr>
              <w:t> : 50</w:t>
            </w:r>
            <w:r w:rsidRPr="008D179A">
              <w:rPr>
                <w:rFonts w:cs="Arial"/>
                <w:color w:val="000000"/>
                <w:szCs w:val="16"/>
              </w:rPr>
              <w:t xml:space="preserve"> % </w:t>
            </w:r>
            <w:r>
              <w:rPr>
                <w:rFonts w:cs="Arial"/>
                <w:color w:val="000000"/>
                <w:szCs w:val="16"/>
              </w:rPr>
              <w:t>fixes</w:t>
            </w:r>
          </w:p>
        </w:tc>
      </w:tr>
      <w:tr w:rsidR="000666C1" w:rsidRPr="008D179A" w14:paraId="3C792802" w14:textId="77777777" w:rsidTr="00F41C5D">
        <w:trPr>
          <w:jc w:val="center"/>
        </w:trPr>
        <w:tc>
          <w:tcPr>
            <w:tcW w:w="6658" w:type="dxa"/>
          </w:tcPr>
          <w:p w14:paraId="2247EDC3" w14:textId="77777777" w:rsidR="000666C1" w:rsidRPr="008D179A" w:rsidRDefault="000666C1" w:rsidP="00F41C5D">
            <w:pPr>
              <w:pStyle w:val="Paragraphedeliste"/>
              <w:numPr>
                <w:ilvl w:val="0"/>
                <w:numId w:val="2"/>
              </w:numPr>
              <w:spacing w:before="40" w:after="40"/>
              <w:ind w:left="142" w:hanging="142"/>
              <w:rPr>
                <w:rFonts w:cs="Arial"/>
                <w:color w:val="000000"/>
                <w:szCs w:val="16"/>
              </w:rPr>
            </w:pPr>
            <w:r w:rsidRPr="008D179A">
              <w:rPr>
                <w:rFonts w:cs="Arial"/>
                <w:color w:val="000000" w:themeColor="text1"/>
                <w:szCs w:val="16"/>
              </w:rPr>
              <w:t>Salaire commerciaux</w:t>
            </w:r>
            <w:r w:rsidRPr="008D179A">
              <w:rPr>
                <w:rFonts w:cs="Arial"/>
                <w:color w:val="000000"/>
                <w:szCs w:val="16"/>
              </w:rPr>
              <w:t> : 50 % fixes</w:t>
            </w:r>
          </w:p>
        </w:tc>
      </w:tr>
      <w:tr w:rsidR="000666C1" w:rsidRPr="008D179A" w14:paraId="278F09DA" w14:textId="77777777" w:rsidTr="00F41C5D">
        <w:trPr>
          <w:jc w:val="center"/>
        </w:trPr>
        <w:tc>
          <w:tcPr>
            <w:tcW w:w="6658" w:type="dxa"/>
          </w:tcPr>
          <w:p w14:paraId="0F00AA39" w14:textId="77777777" w:rsidR="000666C1" w:rsidRPr="008D179A" w:rsidRDefault="000666C1" w:rsidP="00F41C5D">
            <w:pPr>
              <w:pStyle w:val="Paragraphedeliste"/>
              <w:numPr>
                <w:ilvl w:val="0"/>
                <w:numId w:val="2"/>
              </w:numPr>
              <w:spacing w:before="40" w:after="40"/>
              <w:ind w:left="142" w:hanging="142"/>
              <w:rPr>
                <w:rFonts w:cs="Arial"/>
                <w:color w:val="000000"/>
                <w:szCs w:val="16"/>
              </w:rPr>
            </w:pPr>
            <w:r w:rsidRPr="008D179A">
              <w:rPr>
                <w:rFonts w:cs="Arial"/>
                <w:color w:val="000000" w:themeColor="text1"/>
                <w:szCs w:val="16"/>
              </w:rPr>
              <w:t xml:space="preserve">Salaire Administratif : </w:t>
            </w:r>
            <w:r w:rsidRPr="008D179A">
              <w:rPr>
                <w:rFonts w:cs="Arial"/>
                <w:color w:val="000000"/>
                <w:szCs w:val="16"/>
              </w:rPr>
              <w:t>100 % fixes</w:t>
            </w:r>
          </w:p>
        </w:tc>
      </w:tr>
      <w:tr w:rsidR="000666C1" w:rsidRPr="008D179A" w14:paraId="17CAC0AD" w14:textId="77777777" w:rsidTr="00F41C5D">
        <w:trPr>
          <w:jc w:val="center"/>
        </w:trPr>
        <w:tc>
          <w:tcPr>
            <w:tcW w:w="6658" w:type="dxa"/>
          </w:tcPr>
          <w:p w14:paraId="3579AC10" w14:textId="77777777" w:rsidR="000666C1" w:rsidRPr="008D179A" w:rsidRDefault="000666C1" w:rsidP="00F41C5D">
            <w:pPr>
              <w:pStyle w:val="Paragraphedeliste"/>
              <w:numPr>
                <w:ilvl w:val="0"/>
                <w:numId w:val="2"/>
              </w:numPr>
              <w:spacing w:before="40" w:after="40"/>
              <w:ind w:left="142" w:hanging="142"/>
              <w:rPr>
                <w:rFonts w:cs="Arial"/>
                <w:color w:val="000000"/>
                <w:szCs w:val="16"/>
              </w:rPr>
            </w:pPr>
            <w:r w:rsidRPr="008D179A">
              <w:rPr>
                <w:rFonts w:cs="Arial"/>
                <w:color w:val="000000" w:themeColor="text1"/>
                <w:szCs w:val="16"/>
              </w:rPr>
              <w:t xml:space="preserve">Dotations aux amortissements : </w:t>
            </w:r>
            <w:r w:rsidRPr="008D179A">
              <w:rPr>
                <w:rFonts w:cs="Arial"/>
                <w:color w:val="000000"/>
                <w:szCs w:val="16"/>
              </w:rPr>
              <w:t>100% fixes</w:t>
            </w:r>
          </w:p>
        </w:tc>
      </w:tr>
    </w:tbl>
    <w:p w14:paraId="4AD010C3" w14:textId="77777777" w:rsidR="000666C1" w:rsidRPr="000666C1" w:rsidRDefault="000666C1" w:rsidP="00F41C5D">
      <w:pPr>
        <w:spacing w:before="240" w:after="120"/>
        <w:rPr>
          <w:rFonts w:cs="Arial"/>
          <w:b/>
          <w:sz w:val="24"/>
        </w:rPr>
      </w:pPr>
      <w:r w:rsidRPr="000666C1">
        <w:rPr>
          <w:rFonts w:cs="Arial"/>
          <w:b/>
          <w:sz w:val="24"/>
        </w:rPr>
        <w:lastRenderedPageBreak/>
        <w:t>Travail à faire :</w:t>
      </w:r>
    </w:p>
    <w:p w14:paraId="2B1FD558" w14:textId="21A520A5" w:rsidR="000666C1" w:rsidRPr="00044D9C" w:rsidRDefault="000666C1" w:rsidP="000666C1">
      <w:pPr>
        <w:pStyle w:val="Paragraphedeliste"/>
        <w:numPr>
          <w:ilvl w:val="0"/>
          <w:numId w:val="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bCs/>
          <w:szCs w:val="20"/>
        </w:rPr>
      </w:pPr>
      <w:r w:rsidRPr="00044D9C">
        <w:rPr>
          <w:rFonts w:cs="Arial"/>
          <w:bCs/>
          <w:szCs w:val="20"/>
        </w:rPr>
        <w:t>Reclassez les charges en charge fixes et charges variables</w:t>
      </w:r>
      <w:r w:rsidR="00044D9C">
        <w:rPr>
          <w:rFonts w:cs="Arial"/>
          <w:bCs/>
          <w:szCs w:val="20"/>
        </w:rPr>
        <w:t>.</w:t>
      </w:r>
    </w:p>
    <w:p w14:paraId="7F4855E6" w14:textId="77777777" w:rsidR="000666C1" w:rsidRDefault="000666C1" w:rsidP="000666C1">
      <w:pPr>
        <w:jc w:val="center"/>
        <w:rPr>
          <w:noProof/>
        </w:rPr>
      </w:pPr>
    </w:p>
    <w:tbl>
      <w:tblPr>
        <w:tblW w:w="7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2799"/>
        <w:gridCol w:w="1500"/>
        <w:gridCol w:w="1300"/>
        <w:gridCol w:w="1740"/>
      </w:tblGrid>
      <w:tr w:rsidR="000666C1" w:rsidRPr="008D179A" w14:paraId="493ED4FB" w14:textId="77777777" w:rsidTr="00C15E60">
        <w:trPr>
          <w:trHeight w:val="285"/>
        </w:trPr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145CF5" w14:textId="77777777" w:rsidR="000666C1" w:rsidRPr="008D179A" w:rsidRDefault="000666C1" w:rsidP="00C15E6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D179A">
              <w:rPr>
                <w:rFonts w:cs="Arial"/>
                <w:b/>
                <w:bCs/>
                <w:color w:val="000000"/>
                <w:sz w:val="18"/>
                <w:szCs w:val="18"/>
              </w:rPr>
              <w:t>Tableau de reclassement des charges</w:t>
            </w:r>
          </w:p>
        </w:tc>
      </w:tr>
      <w:tr w:rsidR="000666C1" w:rsidRPr="008D179A" w14:paraId="3581E72B" w14:textId="77777777" w:rsidTr="00C15E60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7D80F2" w14:textId="77777777" w:rsidR="000666C1" w:rsidRPr="008D179A" w:rsidRDefault="000666C1" w:rsidP="00C15E60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b/>
                <w:bCs/>
                <w:color w:val="000000"/>
                <w:sz w:val="16"/>
                <w:szCs w:val="16"/>
              </w:rPr>
              <w:t>N°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C87CA3" w14:textId="77777777" w:rsidR="000666C1" w:rsidRPr="008D179A" w:rsidRDefault="000666C1" w:rsidP="00C15E60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b/>
                <w:bCs/>
                <w:color w:val="000000"/>
                <w:sz w:val="16"/>
                <w:szCs w:val="16"/>
              </w:rPr>
              <w:t>Compte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623FF3" w14:textId="32D439CE" w:rsidR="000666C1" w:rsidRPr="008D179A" w:rsidRDefault="000666C1" w:rsidP="00C15E60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b/>
                <w:bCs/>
                <w:color w:val="000000"/>
                <w:sz w:val="16"/>
                <w:szCs w:val="16"/>
              </w:rPr>
              <w:t>Tota</w:t>
            </w:r>
            <w:r w:rsidR="00CF1032">
              <w:rPr>
                <w:rFonts w:cs="Arial"/>
                <w:b/>
                <w:bCs/>
                <w:color w:val="000000"/>
                <w:sz w:val="16"/>
                <w:szCs w:val="16"/>
              </w:rPr>
              <w:t>ux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3C12BC" w14:textId="77777777" w:rsidR="000666C1" w:rsidRPr="008D179A" w:rsidRDefault="000666C1" w:rsidP="00C15E60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b/>
                <w:bCs/>
                <w:color w:val="000000"/>
                <w:sz w:val="16"/>
                <w:szCs w:val="16"/>
              </w:rPr>
              <w:t>Charges fixes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A79EC0" w14:textId="77777777" w:rsidR="000666C1" w:rsidRPr="008D179A" w:rsidRDefault="000666C1" w:rsidP="00C15E60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b/>
                <w:bCs/>
                <w:color w:val="000000"/>
                <w:sz w:val="16"/>
                <w:szCs w:val="16"/>
              </w:rPr>
              <w:t>Charges variables</w:t>
            </w:r>
          </w:p>
        </w:tc>
      </w:tr>
      <w:tr w:rsidR="000666C1" w:rsidRPr="008D179A" w14:paraId="129A8549" w14:textId="77777777" w:rsidTr="00C15E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3808" w14:textId="77777777" w:rsidR="000666C1" w:rsidRPr="00F41C5D" w:rsidRDefault="000666C1" w:rsidP="00C15E6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60100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7BD4" w14:textId="77777777" w:rsidR="000666C1" w:rsidRPr="00F41C5D" w:rsidRDefault="000666C1" w:rsidP="00C15E60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Achats produits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1D39" w14:textId="77777777" w:rsidR="000666C1" w:rsidRPr="00F41C5D" w:rsidRDefault="000666C1" w:rsidP="00C15E6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250 000 €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102A" w14:textId="77777777" w:rsidR="000666C1" w:rsidRPr="008D179A" w:rsidRDefault="000666C1" w:rsidP="00C15E60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9E9C9" w14:textId="77777777" w:rsidR="000666C1" w:rsidRPr="008D179A" w:rsidRDefault="000666C1" w:rsidP="00C15E60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666C1" w:rsidRPr="008D179A" w14:paraId="3DE50012" w14:textId="77777777" w:rsidTr="00C15E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FD03" w14:textId="77777777" w:rsidR="000666C1" w:rsidRPr="00F41C5D" w:rsidRDefault="000666C1" w:rsidP="00C15E6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60700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3E78" w14:textId="77777777" w:rsidR="000666C1" w:rsidRPr="00F41C5D" w:rsidRDefault="000666C1" w:rsidP="00C15E60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Achats de marchandises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6E64" w14:textId="77777777" w:rsidR="000666C1" w:rsidRPr="00F41C5D" w:rsidRDefault="000666C1" w:rsidP="00C15E6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180 000 €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C247" w14:textId="77777777" w:rsidR="000666C1" w:rsidRPr="008D179A" w:rsidRDefault="000666C1" w:rsidP="00C15E6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F05E" w14:textId="77777777" w:rsidR="000666C1" w:rsidRPr="008D179A" w:rsidRDefault="000666C1" w:rsidP="00C15E6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666C1" w:rsidRPr="008D179A" w14:paraId="4B19F627" w14:textId="77777777" w:rsidTr="00C15E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75AE" w14:textId="77777777" w:rsidR="000666C1" w:rsidRPr="00F41C5D" w:rsidRDefault="000666C1" w:rsidP="00C15E6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60610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3E18" w14:textId="77777777" w:rsidR="000666C1" w:rsidRPr="00F41C5D" w:rsidRDefault="000666C1" w:rsidP="00C15E60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Électricité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0D2A" w14:textId="77777777" w:rsidR="000666C1" w:rsidRPr="00F41C5D" w:rsidRDefault="000666C1" w:rsidP="00C15E6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35 000 €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D40F" w14:textId="77777777" w:rsidR="000666C1" w:rsidRPr="008D179A" w:rsidRDefault="000666C1" w:rsidP="00C15E6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0815" w14:textId="77777777" w:rsidR="000666C1" w:rsidRPr="008D179A" w:rsidRDefault="000666C1" w:rsidP="00C15E6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666C1" w:rsidRPr="008D179A" w14:paraId="730D8424" w14:textId="77777777" w:rsidTr="00C15E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1EFE" w14:textId="77777777" w:rsidR="000666C1" w:rsidRPr="00F41C5D" w:rsidRDefault="000666C1" w:rsidP="00C15E6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60640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D488" w14:textId="77777777" w:rsidR="000666C1" w:rsidRPr="00F41C5D" w:rsidRDefault="000666C1" w:rsidP="00C15E60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Fournitures administratives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5293" w14:textId="77777777" w:rsidR="000666C1" w:rsidRPr="00F41C5D" w:rsidRDefault="000666C1" w:rsidP="00C15E6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15 000 €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C431" w14:textId="77777777" w:rsidR="000666C1" w:rsidRPr="008D179A" w:rsidRDefault="000666C1" w:rsidP="00C15E6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7022" w14:textId="77777777" w:rsidR="000666C1" w:rsidRPr="008D179A" w:rsidRDefault="000666C1" w:rsidP="00C15E6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666C1" w:rsidRPr="008D179A" w14:paraId="06848877" w14:textId="77777777" w:rsidTr="00C15E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5755" w14:textId="77777777" w:rsidR="000666C1" w:rsidRPr="00F41C5D" w:rsidRDefault="000666C1" w:rsidP="00C15E6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61550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3443" w14:textId="77777777" w:rsidR="000666C1" w:rsidRPr="00F41C5D" w:rsidRDefault="000666C1" w:rsidP="00C15E60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Entretien et réparation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ED1F" w14:textId="77777777" w:rsidR="000666C1" w:rsidRPr="00F41C5D" w:rsidRDefault="000666C1" w:rsidP="00C15E6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18 000 €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7EA1" w14:textId="77777777" w:rsidR="000666C1" w:rsidRPr="008D179A" w:rsidRDefault="000666C1" w:rsidP="00C15E6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9B17" w14:textId="77777777" w:rsidR="000666C1" w:rsidRPr="008D179A" w:rsidRDefault="000666C1" w:rsidP="00C15E6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666C1" w:rsidRPr="008D179A" w14:paraId="3021FD4D" w14:textId="77777777" w:rsidTr="00C15E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FF2B" w14:textId="77777777" w:rsidR="000666C1" w:rsidRPr="00F41C5D" w:rsidRDefault="000666C1" w:rsidP="00C15E6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61600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E877" w14:textId="77777777" w:rsidR="000666C1" w:rsidRPr="00F41C5D" w:rsidRDefault="000666C1" w:rsidP="00C15E60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Assurances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00E3" w14:textId="77777777" w:rsidR="000666C1" w:rsidRPr="00F41C5D" w:rsidRDefault="000666C1" w:rsidP="00C15E6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23 000 €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CE6C" w14:textId="77777777" w:rsidR="000666C1" w:rsidRPr="008D179A" w:rsidRDefault="000666C1" w:rsidP="00C15E6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C36D" w14:textId="77777777" w:rsidR="000666C1" w:rsidRPr="008D179A" w:rsidRDefault="000666C1" w:rsidP="00C15E6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666C1" w:rsidRPr="008D179A" w14:paraId="474F52B1" w14:textId="77777777" w:rsidTr="00C15E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2F24" w14:textId="77777777" w:rsidR="000666C1" w:rsidRPr="00F41C5D" w:rsidRDefault="000666C1" w:rsidP="00C15E6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62300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4C73" w14:textId="77777777" w:rsidR="000666C1" w:rsidRPr="00F41C5D" w:rsidRDefault="000666C1" w:rsidP="00C15E60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Frais de publicité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9F7D" w14:textId="77777777" w:rsidR="000666C1" w:rsidRPr="00F41C5D" w:rsidRDefault="000666C1" w:rsidP="00C15E6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32 000 €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2B5D" w14:textId="77777777" w:rsidR="000666C1" w:rsidRPr="008D179A" w:rsidRDefault="000666C1" w:rsidP="00C15E6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8E64" w14:textId="77777777" w:rsidR="000666C1" w:rsidRPr="008D179A" w:rsidRDefault="000666C1" w:rsidP="00C15E6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666C1" w:rsidRPr="008D179A" w14:paraId="293F53EE" w14:textId="77777777" w:rsidTr="00C15E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2B43" w14:textId="77777777" w:rsidR="000666C1" w:rsidRPr="00F41C5D" w:rsidRDefault="000666C1" w:rsidP="00C15E6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62401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96D0" w14:textId="77777777" w:rsidR="000666C1" w:rsidRPr="00F41C5D" w:rsidRDefault="000666C1" w:rsidP="00C15E60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 xml:space="preserve">Frais de transport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6B81" w14:textId="77777777" w:rsidR="000666C1" w:rsidRPr="00F41C5D" w:rsidRDefault="000666C1" w:rsidP="00C15E6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15 500 €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E159" w14:textId="77777777" w:rsidR="000666C1" w:rsidRPr="008D179A" w:rsidRDefault="000666C1" w:rsidP="00C15E6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D09F" w14:textId="77777777" w:rsidR="000666C1" w:rsidRPr="008D179A" w:rsidRDefault="000666C1" w:rsidP="00C15E6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666C1" w:rsidRPr="008D179A" w14:paraId="5C9D1D38" w14:textId="77777777" w:rsidTr="00C15E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A826" w14:textId="77777777" w:rsidR="000666C1" w:rsidRPr="00F41C5D" w:rsidRDefault="000666C1" w:rsidP="00C15E6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62500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C014" w14:textId="3AA4727B" w:rsidR="000666C1" w:rsidRPr="00F41C5D" w:rsidRDefault="000666C1" w:rsidP="00C15E60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Missions, réception</w:t>
            </w:r>
            <w:r w:rsidR="00554FAC" w:rsidRPr="00F41C5D">
              <w:rPr>
                <w:rFonts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85EC" w14:textId="77777777" w:rsidR="000666C1" w:rsidRPr="00F41C5D" w:rsidRDefault="000666C1" w:rsidP="00C15E6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18 000 €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9396" w14:textId="77777777" w:rsidR="000666C1" w:rsidRPr="008D179A" w:rsidRDefault="000666C1" w:rsidP="00C15E6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CE10" w14:textId="77777777" w:rsidR="000666C1" w:rsidRPr="008D179A" w:rsidRDefault="000666C1" w:rsidP="00C15E6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666C1" w:rsidRPr="008D179A" w14:paraId="29FB0F0C" w14:textId="77777777" w:rsidTr="00C15E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CC48" w14:textId="77777777" w:rsidR="000666C1" w:rsidRPr="00F41C5D" w:rsidRDefault="000666C1" w:rsidP="00C15E6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62600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9EF3" w14:textId="77777777" w:rsidR="000666C1" w:rsidRPr="00F41C5D" w:rsidRDefault="000666C1" w:rsidP="00C15E60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Frais postaux et télécoms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C457" w14:textId="77777777" w:rsidR="000666C1" w:rsidRPr="00F41C5D" w:rsidRDefault="000666C1" w:rsidP="00C15E6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6 800 €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2562" w14:textId="77777777" w:rsidR="000666C1" w:rsidRPr="008D179A" w:rsidRDefault="000666C1" w:rsidP="00C15E6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EA09" w14:textId="77777777" w:rsidR="000666C1" w:rsidRPr="008D179A" w:rsidRDefault="000666C1" w:rsidP="00C15E6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666C1" w:rsidRPr="008D179A" w14:paraId="0AE38964" w14:textId="77777777" w:rsidTr="00C15E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068B" w14:textId="77777777" w:rsidR="000666C1" w:rsidRPr="00F41C5D" w:rsidRDefault="000666C1" w:rsidP="00C15E6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62700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CB67" w14:textId="77777777" w:rsidR="000666C1" w:rsidRPr="00F41C5D" w:rsidRDefault="000666C1" w:rsidP="00C15E60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Frais bancaires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FE24" w14:textId="77777777" w:rsidR="000666C1" w:rsidRPr="00F41C5D" w:rsidRDefault="000666C1" w:rsidP="00C15E6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2 400 €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8F1C" w14:textId="77777777" w:rsidR="000666C1" w:rsidRPr="008D179A" w:rsidRDefault="000666C1" w:rsidP="00C15E6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EB88" w14:textId="77777777" w:rsidR="000666C1" w:rsidRPr="008D179A" w:rsidRDefault="000666C1" w:rsidP="00C15E6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666C1" w:rsidRPr="008D179A" w14:paraId="52DE65A5" w14:textId="77777777" w:rsidTr="00C15E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71A8" w14:textId="77777777" w:rsidR="000666C1" w:rsidRPr="00F41C5D" w:rsidRDefault="000666C1" w:rsidP="00C15E6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64110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19F0" w14:textId="77777777" w:rsidR="000666C1" w:rsidRPr="00F41C5D" w:rsidRDefault="000666C1" w:rsidP="00C15E60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Salaires service achat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F936" w14:textId="77777777" w:rsidR="000666C1" w:rsidRPr="00F41C5D" w:rsidRDefault="000666C1" w:rsidP="00C15E6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102 000 €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4B1C" w14:textId="77777777" w:rsidR="000666C1" w:rsidRPr="008D179A" w:rsidRDefault="000666C1" w:rsidP="00C15E6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3761" w14:textId="77777777" w:rsidR="000666C1" w:rsidRPr="008D179A" w:rsidRDefault="000666C1" w:rsidP="00C15E6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666C1" w:rsidRPr="008D179A" w14:paraId="4F8E47CC" w14:textId="77777777" w:rsidTr="00C15E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49E0" w14:textId="77777777" w:rsidR="000666C1" w:rsidRPr="00F41C5D" w:rsidRDefault="000666C1" w:rsidP="00C15E6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64120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F589" w14:textId="77777777" w:rsidR="000666C1" w:rsidRPr="00F41C5D" w:rsidRDefault="000666C1" w:rsidP="00C15E60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Salaires production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5678" w14:textId="77777777" w:rsidR="000666C1" w:rsidRPr="00F41C5D" w:rsidRDefault="000666C1" w:rsidP="00C15E6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263 000 €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214C" w14:textId="77777777" w:rsidR="000666C1" w:rsidRPr="008D179A" w:rsidRDefault="000666C1" w:rsidP="00C15E6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2311" w14:textId="77777777" w:rsidR="000666C1" w:rsidRPr="008D179A" w:rsidRDefault="000666C1" w:rsidP="00C15E6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666C1" w:rsidRPr="008D179A" w14:paraId="43703BA5" w14:textId="77777777" w:rsidTr="00C15E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4A6F" w14:textId="77777777" w:rsidR="000666C1" w:rsidRPr="00F41C5D" w:rsidRDefault="000666C1" w:rsidP="00C15E6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64130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3853" w14:textId="77777777" w:rsidR="000666C1" w:rsidRPr="00F41C5D" w:rsidRDefault="000666C1" w:rsidP="00C15E60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Salaires commerciaux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A43D" w14:textId="77777777" w:rsidR="000666C1" w:rsidRPr="00F41C5D" w:rsidRDefault="000666C1" w:rsidP="00C15E6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135 000 €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9B12" w14:textId="77777777" w:rsidR="000666C1" w:rsidRPr="008D179A" w:rsidRDefault="000666C1" w:rsidP="00C15E6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AC06" w14:textId="77777777" w:rsidR="000666C1" w:rsidRPr="008D179A" w:rsidRDefault="000666C1" w:rsidP="00C15E6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666C1" w:rsidRPr="008D179A" w14:paraId="35C3F3B4" w14:textId="77777777" w:rsidTr="00C15E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FE23" w14:textId="77777777" w:rsidR="000666C1" w:rsidRPr="00F41C5D" w:rsidRDefault="000666C1" w:rsidP="00C15E6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64140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4C58" w14:textId="1ABF5ECC" w:rsidR="000666C1" w:rsidRPr="00F41C5D" w:rsidRDefault="000666C1" w:rsidP="00C15E60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Salaires Administratif</w:t>
            </w:r>
            <w:r w:rsidR="00554FAC" w:rsidRPr="00F41C5D">
              <w:rPr>
                <w:rFonts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BEAE" w14:textId="77777777" w:rsidR="000666C1" w:rsidRPr="00F41C5D" w:rsidRDefault="000666C1" w:rsidP="00C15E6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183 000 €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1CF0" w14:textId="77777777" w:rsidR="000666C1" w:rsidRPr="008D179A" w:rsidRDefault="000666C1" w:rsidP="00C15E6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E340" w14:textId="77777777" w:rsidR="000666C1" w:rsidRPr="008D179A" w:rsidRDefault="000666C1" w:rsidP="00C15E6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666C1" w:rsidRPr="008D179A" w14:paraId="060ABA70" w14:textId="77777777" w:rsidTr="00C15E60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17FC" w14:textId="77777777" w:rsidR="000666C1" w:rsidRPr="00F41C5D" w:rsidRDefault="000666C1" w:rsidP="00C15E6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68100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DEFD" w14:textId="77777777" w:rsidR="000666C1" w:rsidRPr="00F41C5D" w:rsidRDefault="000666C1" w:rsidP="00C15E60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Dotations aux amortissements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4B7A" w14:textId="77777777" w:rsidR="000666C1" w:rsidRPr="00F41C5D" w:rsidRDefault="000666C1" w:rsidP="00C15E6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41C5D">
              <w:rPr>
                <w:rFonts w:cs="Arial"/>
                <w:color w:val="000000"/>
                <w:sz w:val="18"/>
                <w:szCs w:val="18"/>
              </w:rPr>
              <w:t>52 000 €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70AC" w14:textId="77777777" w:rsidR="000666C1" w:rsidRPr="008D179A" w:rsidRDefault="000666C1" w:rsidP="00C15E6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38CB" w14:textId="77777777" w:rsidR="000666C1" w:rsidRPr="008D179A" w:rsidRDefault="000666C1" w:rsidP="00C15E6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D1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649F035F" w14:textId="77777777" w:rsidR="000666C1" w:rsidRDefault="000666C1" w:rsidP="000666C1">
      <w:pPr>
        <w:rPr>
          <w:rFonts w:cs="Arial"/>
          <w:color w:val="000000"/>
          <w:szCs w:val="16"/>
        </w:rPr>
      </w:pPr>
    </w:p>
    <w:p w14:paraId="4351458D" w14:textId="77777777" w:rsidR="000666C1" w:rsidRDefault="000666C1" w:rsidP="000666C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b/>
        </w:rPr>
      </w:pPr>
    </w:p>
    <w:p w14:paraId="1FE61D99" w14:textId="56E214C2" w:rsidR="000666C1" w:rsidRPr="00044D9C" w:rsidRDefault="000666C1" w:rsidP="000666C1">
      <w:pPr>
        <w:pStyle w:val="Paragraphedeliste"/>
        <w:numPr>
          <w:ilvl w:val="0"/>
          <w:numId w:val="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bCs/>
          <w:szCs w:val="20"/>
        </w:rPr>
      </w:pPr>
      <w:r w:rsidRPr="00044D9C">
        <w:rPr>
          <w:rFonts w:cs="Arial"/>
          <w:bCs/>
          <w:szCs w:val="20"/>
        </w:rPr>
        <w:t>Réalise</w:t>
      </w:r>
      <w:r w:rsidR="00554FAC" w:rsidRPr="00044D9C">
        <w:rPr>
          <w:rFonts w:cs="Arial"/>
          <w:bCs/>
          <w:szCs w:val="20"/>
        </w:rPr>
        <w:t>z</w:t>
      </w:r>
      <w:r w:rsidRPr="00044D9C">
        <w:rPr>
          <w:rFonts w:cs="Arial"/>
          <w:bCs/>
          <w:szCs w:val="20"/>
        </w:rPr>
        <w:t xml:space="preserve"> le compte d’exploitation différentiel</w:t>
      </w:r>
      <w:r w:rsidR="00044D9C">
        <w:rPr>
          <w:rFonts w:cs="Arial"/>
          <w:bCs/>
          <w:szCs w:val="20"/>
        </w:rPr>
        <w:t>.</w:t>
      </w:r>
    </w:p>
    <w:p w14:paraId="5A0A3539" w14:textId="77777777" w:rsidR="000666C1" w:rsidRDefault="000666C1" w:rsidP="000666C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b/>
        </w:rPr>
      </w:pPr>
    </w:p>
    <w:tbl>
      <w:tblPr>
        <w:tblW w:w="65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777"/>
        <w:gridCol w:w="1640"/>
      </w:tblGrid>
      <w:tr w:rsidR="000666C1" w:rsidRPr="00BA18A6" w14:paraId="6409475C" w14:textId="77777777" w:rsidTr="003F3E58">
        <w:trPr>
          <w:trHeight w:val="300"/>
          <w:jc w:val="center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A89FDA" w14:textId="77777777" w:rsidR="000666C1" w:rsidRPr="00BA18A6" w:rsidRDefault="000666C1" w:rsidP="00C15E60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A18A6">
              <w:rPr>
                <w:rFonts w:cs="Arial"/>
                <w:b/>
                <w:bCs/>
                <w:color w:val="000000"/>
                <w:szCs w:val="20"/>
              </w:rPr>
              <w:t>Compte d'exploitation différentiel</w:t>
            </w:r>
          </w:p>
        </w:tc>
      </w:tr>
      <w:tr w:rsidR="000666C1" w:rsidRPr="00BA18A6" w14:paraId="29DC2ABA" w14:textId="77777777" w:rsidTr="003F3E58">
        <w:trPr>
          <w:trHeight w:val="289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03741B" w14:textId="77777777" w:rsidR="000666C1" w:rsidRPr="00BA18A6" w:rsidRDefault="000666C1" w:rsidP="00C15E60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A18A6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8A07ED" w14:textId="77777777" w:rsidR="000666C1" w:rsidRPr="00BA18A6" w:rsidRDefault="000666C1" w:rsidP="00C15E60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A18A6">
              <w:rPr>
                <w:rFonts w:cs="Arial"/>
                <w:b/>
                <w:bCs/>
                <w:color w:val="000000"/>
                <w:szCs w:val="20"/>
              </w:rPr>
              <w:t>Totaux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5ED9F4" w14:textId="77777777" w:rsidR="000666C1" w:rsidRPr="00BA18A6" w:rsidRDefault="000666C1" w:rsidP="00C15E60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A18A6">
              <w:rPr>
                <w:rFonts w:cs="Arial"/>
                <w:b/>
                <w:bCs/>
                <w:color w:val="000000"/>
                <w:szCs w:val="20"/>
              </w:rPr>
              <w:t>%</w:t>
            </w:r>
          </w:p>
        </w:tc>
      </w:tr>
      <w:tr w:rsidR="000666C1" w:rsidRPr="00BA18A6" w14:paraId="738595E7" w14:textId="77777777" w:rsidTr="003F3E58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E72D" w14:textId="77777777" w:rsidR="000666C1" w:rsidRPr="00BA18A6" w:rsidRDefault="000666C1" w:rsidP="00C15E60">
            <w:pPr>
              <w:jc w:val="both"/>
              <w:rPr>
                <w:rFonts w:cs="Arial"/>
                <w:color w:val="000000"/>
                <w:szCs w:val="20"/>
              </w:rPr>
            </w:pPr>
            <w:r w:rsidRPr="00BA18A6">
              <w:rPr>
                <w:rFonts w:cs="Arial"/>
                <w:color w:val="000000"/>
                <w:szCs w:val="20"/>
              </w:rPr>
              <w:t>I   - Chiffre d'affaires net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9FBC" w14:textId="77777777" w:rsidR="000666C1" w:rsidRPr="00BA18A6" w:rsidRDefault="000666C1" w:rsidP="00C15E60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C8D6" w14:textId="77777777" w:rsidR="000666C1" w:rsidRPr="00BA18A6" w:rsidRDefault="000666C1" w:rsidP="00C15E60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0666C1" w:rsidRPr="00BA18A6" w14:paraId="1FA33CAD" w14:textId="77777777" w:rsidTr="003F3E58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A8CA" w14:textId="77777777" w:rsidR="000666C1" w:rsidRPr="00BA18A6" w:rsidRDefault="000666C1" w:rsidP="00C15E60">
            <w:pPr>
              <w:jc w:val="both"/>
              <w:rPr>
                <w:rFonts w:cs="Arial"/>
                <w:color w:val="000000"/>
                <w:szCs w:val="20"/>
              </w:rPr>
            </w:pPr>
            <w:r w:rsidRPr="00BA18A6">
              <w:rPr>
                <w:rFonts w:cs="Arial"/>
                <w:color w:val="000000"/>
                <w:szCs w:val="20"/>
              </w:rPr>
              <w:t>II  - Coût variable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408D" w14:textId="77777777" w:rsidR="000666C1" w:rsidRPr="00BA18A6" w:rsidRDefault="000666C1" w:rsidP="00C15E60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1BAA" w14:textId="77777777" w:rsidR="000666C1" w:rsidRPr="00BA18A6" w:rsidRDefault="000666C1" w:rsidP="00C15E60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0666C1" w:rsidRPr="00BA18A6" w14:paraId="15003139" w14:textId="77777777" w:rsidTr="003F3E58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6C53" w14:textId="77777777" w:rsidR="000666C1" w:rsidRPr="00BA18A6" w:rsidRDefault="000666C1" w:rsidP="00C15E60">
            <w:pPr>
              <w:jc w:val="both"/>
              <w:rPr>
                <w:rFonts w:cs="Arial"/>
                <w:color w:val="000000"/>
                <w:szCs w:val="20"/>
              </w:rPr>
            </w:pPr>
            <w:r w:rsidRPr="00BA18A6">
              <w:rPr>
                <w:rFonts w:cs="Arial"/>
                <w:color w:val="000000"/>
                <w:szCs w:val="20"/>
              </w:rPr>
              <w:t xml:space="preserve">III - Marge sur coût variable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7DD3" w14:textId="77777777" w:rsidR="000666C1" w:rsidRPr="00BA18A6" w:rsidRDefault="000666C1" w:rsidP="00C15E60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E10C" w14:textId="77777777" w:rsidR="000666C1" w:rsidRPr="00BA18A6" w:rsidRDefault="000666C1" w:rsidP="00C15E60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0666C1" w:rsidRPr="00BA18A6" w14:paraId="0F94BB80" w14:textId="77777777" w:rsidTr="003F3E58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2376" w14:textId="77777777" w:rsidR="000666C1" w:rsidRPr="00BA18A6" w:rsidRDefault="000666C1" w:rsidP="00C15E60">
            <w:pPr>
              <w:jc w:val="both"/>
              <w:rPr>
                <w:rFonts w:cs="Arial"/>
                <w:color w:val="000000"/>
                <w:szCs w:val="20"/>
              </w:rPr>
            </w:pPr>
            <w:r w:rsidRPr="00BA18A6">
              <w:rPr>
                <w:rFonts w:cs="Arial"/>
                <w:color w:val="000000"/>
                <w:szCs w:val="20"/>
              </w:rPr>
              <w:t>IV - Coût fixe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3D58" w14:textId="77777777" w:rsidR="000666C1" w:rsidRPr="00BA18A6" w:rsidRDefault="000666C1" w:rsidP="00C15E60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4877" w14:textId="77777777" w:rsidR="000666C1" w:rsidRPr="00BA18A6" w:rsidRDefault="000666C1" w:rsidP="00C15E60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0666C1" w:rsidRPr="00BA18A6" w14:paraId="4F6A8A9A" w14:textId="77777777" w:rsidTr="003F3E58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CECD" w14:textId="77777777" w:rsidR="000666C1" w:rsidRPr="00BA18A6" w:rsidRDefault="000666C1" w:rsidP="00C15E60">
            <w:pPr>
              <w:jc w:val="both"/>
              <w:rPr>
                <w:rFonts w:cs="Arial"/>
                <w:color w:val="000000"/>
                <w:szCs w:val="20"/>
              </w:rPr>
            </w:pPr>
            <w:r w:rsidRPr="00BA18A6">
              <w:rPr>
                <w:rFonts w:cs="Arial"/>
                <w:color w:val="000000"/>
                <w:szCs w:val="20"/>
              </w:rPr>
              <w:t>VI - Résultat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7C3E" w14:textId="77777777" w:rsidR="000666C1" w:rsidRPr="00BA18A6" w:rsidRDefault="000666C1" w:rsidP="00C15E60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3455" w14:textId="77777777" w:rsidR="000666C1" w:rsidRPr="00BA18A6" w:rsidRDefault="000666C1" w:rsidP="00C15E60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</w:tbl>
    <w:p w14:paraId="45541B19" w14:textId="77777777" w:rsidR="000666C1" w:rsidRDefault="000666C1" w:rsidP="000666C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b/>
        </w:rPr>
      </w:pPr>
    </w:p>
    <w:p w14:paraId="46A0702A" w14:textId="77777777" w:rsidR="000666C1" w:rsidRDefault="000666C1" w:rsidP="000666C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b/>
        </w:rPr>
      </w:pPr>
    </w:p>
    <w:p w14:paraId="13FBCC2F" w14:textId="7D9FE453" w:rsidR="000666C1" w:rsidRPr="00044D9C" w:rsidRDefault="000666C1" w:rsidP="000666C1">
      <w:pPr>
        <w:pStyle w:val="Paragraphedeliste"/>
        <w:numPr>
          <w:ilvl w:val="0"/>
          <w:numId w:val="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bCs/>
          <w:szCs w:val="20"/>
        </w:rPr>
      </w:pPr>
      <w:r w:rsidRPr="00044D9C">
        <w:rPr>
          <w:rFonts w:cs="Arial"/>
          <w:bCs/>
          <w:szCs w:val="20"/>
        </w:rPr>
        <w:t>Calcule</w:t>
      </w:r>
      <w:r w:rsidR="00554FAC" w:rsidRPr="00044D9C">
        <w:rPr>
          <w:rFonts w:cs="Arial"/>
          <w:bCs/>
          <w:szCs w:val="20"/>
        </w:rPr>
        <w:t>z</w:t>
      </w:r>
      <w:r w:rsidRPr="00044D9C">
        <w:rPr>
          <w:rFonts w:cs="Arial"/>
          <w:bCs/>
          <w:szCs w:val="20"/>
        </w:rPr>
        <w:t xml:space="preserve"> le seuil de rentabilité</w:t>
      </w:r>
      <w:r w:rsidR="003F3E58" w:rsidRPr="00044D9C">
        <w:rPr>
          <w:rFonts w:cs="Arial"/>
          <w:bCs/>
          <w:szCs w:val="20"/>
        </w:rPr>
        <w:t>.</w:t>
      </w:r>
    </w:p>
    <w:p w14:paraId="3DD4E125" w14:textId="77777777" w:rsidR="000666C1" w:rsidRPr="00044D9C" w:rsidRDefault="000666C1" w:rsidP="000666C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bCs/>
        </w:rPr>
      </w:pPr>
    </w:p>
    <w:p w14:paraId="2ACE1984" w14:textId="77777777" w:rsidR="000666C1" w:rsidRPr="00044D9C" w:rsidRDefault="000666C1" w:rsidP="000666C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bCs/>
        </w:rPr>
      </w:pPr>
    </w:p>
    <w:p w14:paraId="3FB5A4F6" w14:textId="77777777" w:rsidR="000666C1" w:rsidRPr="00044D9C" w:rsidRDefault="000666C1" w:rsidP="000666C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bCs/>
        </w:rPr>
      </w:pPr>
    </w:p>
    <w:p w14:paraId="36863A33" w14:textId="77777777" w:rsidR="000666C1" w:rsidRPr="00044D9C" w:rsidRDefault="000666C1" w:rsidP="000666C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bCs/>
        </w:rPr>
      </w:pPr>
    </w:p>
    <w:p w14:paraId="56737F48" w14:textId="77777777" w:rsidR="000666C1" w:rsidRPr="00044D9C" w:rsidRDefault="000666C1" w:rsidP="000666C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bCs/>
        </w:rPr>
      </w:pPr>
    </w:p>
    <w:p w14:paraId="27E6D54F" w14:textId="7802F424" w:rsidR="000666C1" w:rsidRPr="00044D9C" w:rsidRDefault="000666C1" w:rsidP="000666C1">
      <w:pPr>
        <w:pStyle w:val="Paragraphedeliste"/>
        <w:numPr>
          <w:ilvl w:val="0"/>
          <w:numId w:val="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bCs/>
          <w:szCs w:val="20"/>
        </w:rPr>
      </w:pPr>
      <w:r w:rsidRPr="00044D9C">
        <w:rPr>
          <w:rFonts w:cs="Arial"/>
          <w:bCs/>
          <w:szCs w:val="20"/>
        </w:rPr>
        <w:t>Détermine</w:t>
      </w:r>
      <w:r w:rsidR="00554FAC" w:rsidRPr="00044D9C">
        <w:rPr>
          <w:rFonts w:cs="Arial"/>
          <w:bCs/>
          <w:szCs w:val="20"/>
        </w:rPr>
        <w:t>z</w:t>
      </w:r>
      <w:r w:rsidRPr="00044D9C">
        <w:rPr>
          <w:rFonts w:cs="Arial"/>
          <w:bCs/>
          <w:szCs w:val="20"/>
        </w:rPr>
        <w:t xml:space="preserve"> la date à laquelle le </w:t>
      </w:r>
      <w:r w:rsidR="0086714B" w:rsidRPr="00044D9C">
        <w:rPr>
          <w:rFonts w:cs="Arial"/>
          <w:bCs/>
          <w:szCs w:val="20"/>
        </w:rPr>
        <w:t>point mort</w:t>
      </w:r>
      <w:r w:rsidRPr="00044D9C">
        <w:rPr>
          <w:rFonts w:cs="Arial"/>
          <w:bCs/>
          <w:szCs w:val="20"/>
        </w:rPr>
        <w:t xml:space="preserve"> </w:t>
      </w:r>
      <w:r w:rsidR="00F41C5D" w:rsidRPr="00044D9C">
        <w:rPr>
          <w:rFonts w:cs="Arial"/>
          <w:bCs/>
          <w:szCs w:val="20"/>
        </w:rPr>
        <w:t>a été</w:t>
      </w:r>
      <w:r w:rsidRPr="00044D9C">
        <w:rPr>
          <w:rFonts w:cs="Arial"/>
          <w:bCs/>
          <w:szCs w:val="20"/>
        </w:rPr>
        <w:t xml:space="preserve"> atteint</w:t>
      </w:r>
      <w:r w:rsidR="003F3E58" w:rsidRPr="00044D9C">
        <w:rPr>
          <w:rFonts w:cs="Arial"/>
          <w:bCs/>
          <w:szCs w:val="20"/>
        </w:rPr>
        <w:t>.</w:t>
      </w:r>
    </w:p>
    <w:p w14:paraId="5D91FD9B" w14:textId="12573F9E" w:rsidR="00AB1AE6" w:rsidRPr="00044D9C" w:rsidRDefault="00AB1AE6" w:rsidP="000666C1">
      <w:pPr>
        <w:rPr>
          <w:bCs/>
        </w:rPr>
      </w:pPr>
    </w:p>
    <w:p w14:paraId="383041DA" w14:textId="2E5B1D8A" w:rsidR="0086714B" w:rsidRPr="00044D9C" w:rsidRDefault="0086714B" w:rsidP="000666C1">
      <w:pPr>
        <w:rPr>
          <w:bCs/>
        </w:rPr>
      </w:pPr>
    </w:p>
    <w:p w14:paraId="78890CB3" w14:textId="3CB91980" w:rsidR="0086714B" w:rsidRPr="00044D9C" w:rsidRDefault="0086714B" w:rsidP="000666C1">
      <w:pPr>
        <w:rPr>
          <w:bCs/>
        </w:rPr>
      </w:pPr>
    </w:p>
    <w:p w14:paraId="241421B0" w14:textId="335D1CC7" w:rsidR="0086714B" w:rsidRPr="00044D9C" w:rsidRDefault="0086714B" w:rsidP="000666C1">
      <w:pPr>
        <w:rPr>
          <w:bCs/>
        </w:rPr>
      </w:pPr>
    </w:p>
    <w:p w14:paraId="4AF4E30C" w14:textId="31765CEC" w:rsidR="0011109E" w:rsidRPr="00044D9C" w:rsidRDefault="0011109E" w:rsidP="0011109E">
      <w:pPr>
        <w:pStyle w:val="Paragraphedeliste"/>
        <w:numPr>
          <w:ilvl w:val="0"/>
          <w:numId w:val="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bCs/>
          <w:szCs w:val="20"/>
        </w:rPr>
      </w:pPr>
      <w:r w:rsidRPr="00044D9C">
        <w:rPr>
          <w:rFonts w:cs="Arial"/>
          <w:bCs/>
          <w:szCs w:val="20"/>
        </w:rPr>
        <w:t>Calculez la marge de sécurité.</w:t>
      </w:r>
    </w:p>
    <w:p w14:paraId="1625CED8" w14:textId="437CF20F" w:rsidR="0086714B" w:rsidRPr="00044D9C" w:rsidRDefault="0086714B" w:rsidP="000666C1">
      <w:pPr>
        <w:rPr>
          <w:bCs/>
        </w:rPr>
      </w:pPr>
    </w:p>
    <w:p w14:paraId="2B5F0F21" w14:textId="78D42B1E" w:rsidR="0086714B" w:rsidRPr="00044D9C" w:rsidRDefault="0086714B" w:rsidP="000666C1">
      <w:pPr>
        <w:rPr>
          <w:bCs/>
        </w:rPr>
      </w:pPr>
    </w:p>
    <w:p w14:paraId="7E871EB2" w14:textId="20B19C29" w:rsidR="0086714B" w:rsidRPr="00044D9C" w:rsidRDefault="0086714B" w:rsidP="000666C1">
      <w:pPr>
        <w:rPr>
          <w:bCs/>
        </w:rPr>
      </w:pPr>
    </w:p>
    <w:p w14:paraId="58C0905C" w14:textId="6E6EED7D" w:rsidR="0086714B" w:rsidRPr="00044D9C" w:rsidRDefault="0086714B" w:rsidP="000666C1">
      <w:pPr>
        <w:rPr>
          <w:bCs/>
        </w:rPr>
      </w:pPr>
    </w:p>
    <w:p w14:paraId="3099CCF9" w14:textId="175929FA" w:rsidR="0086714B" w:rsidRPr="00044D9C" w:rsidRDefault="0086714B" w:rsidP="000666C1">
      <w:pPr>
        <w:rPr>
          <w:bCs/>
        </w:rPr>
      </w:pPr>
    </w:p>
    <w:p w14:paraId="2E8E7FE0" w14:textId="77777777" w:rsidR="0086714B" w:rsidRPr="00044D9C" w:rsidRDefault="0086714B" w:rsidP="0086714B">
      <w:pPr>
        <w:pStyle w:val="Paragraphedeliste"/>
        <w:numPr>
          <w:ilvl w:val="0"/>
          <w:numId w:val="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bCs/>
          <w:szCs w:val="20"/>
        </w:rPr>
      </w:pPr>
      <w:bookmarkStart w:id="0" w:name="_Hlk47702660"/>
      <w:r w:rsidRPr="00044D9C">
        <w:rPr>
          <w:rFonts w:cs="Arial"/>
          <w:bCs/>
          <w:szCs w:val="20"/>
        </w:rPr>
        <w:t>Quel devrait être le chiffre d’affaires à réaliser pour que le résultat soit de 350 000 €.</w:t>
      </w:r>
    </w:p>
    <w:bookmarkEnd w:id="0"/>
    <w:p w14:paraId="52AC142A" w14:textId="77777777" w:rsidR="0086714B" w:rsidRPr="000666C1" w:rsidRDefault="0086714B" w:rsidP="000666C1"/>
    <w:sectPr w:rsidR="0086714B" w:rsidRPr="000666C1" w:rsidSect="007F063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5686"/>
    <w:multiLevelType w:val="hybridMultilevel"/>
    <w:tmpl w:val="F0EA00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71183"/>
    <w:multiLevelType w:val="hybridMultilevel"/>
    <w:tmpl w:val="0C7689B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9210950">
    <w:abstractNumId w:val="1"/>
  </w:num>
  <w:num w:numId="2" w16cid:durableId="774666946">
    <w:abstractNumId w:val="0"/>
  </w:num>
  <w:num w:numId="3" w16cid:durableId="901064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305"/>
    <w:rsid w:val="00044D9C"/>
    <w:rsid w:val="000666C1"/>
    <w:rsid w:val="0011109E"/>
    <w:rsid w:val="001E7305"/>
    <w:rsid w:val="001F3B61"/>
    <w:rsid w:val="003F3E58"/>
    <w:rsid w:val="00554FAC"/>
    <w:rsid w:val="00694D84"/>
    <w:rsid w:val="007F0639"/>
    <w:rsid w:val="0086714B"/>
    <w:rsid w:val="00A311A4"/>
    <w:rsid w:val="00AB1AE6"/>
    <w:rsid w:val="00CF1032"/>
    <w:rsid w:val="00F4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5E35"/>
  <w15:chartTrackingRefBased/>
  <w15:docId w15:val="{5600F6CD-6FCC-472F-AE06-410EC18F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30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E7305"/>
    <w:pPr>
      <w:keepNext/>
      <w:keepLines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E7305"/>
    <w:rPr>
      <w:rFonts w:ascii="Arial" w:eastAsiaTheme="majorEastAsia" w:hAnsi="Arial" w:cstheme="majorBidi"/>
      <w:b/>
      <w:bCs/>
      <w:color w:val="000000" w:themeColor="text1"/>
      <w:sz w:val="28"/>
      <w:szCs w:val="26"/>
      <w:lang w:eastAsia="fr-FR"/>
    </w:rPr>
  </w:style>
  <w:style w:type="table" w:styleId="Grilledutableau">
    <w:name w:val="Table Grid"/>
    <w:basedOn w:val="TableauNormal"/>
    <w:uiPriority w:val="59"/>
    <w:rsid w:val="001E7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E7305"/>
    <w:pPr>
      <w:ind w:left="720"/>
      <w:contextualSpacing/>
    </w:pPr>
  </w:style>
  <w:style w:type="paragraph" w:styleId="Sansinterligne">
    <w:name w:val="No Spacing"/>
    <w:aliases w:val="Titre 11"/>
    <w:basedOn w:val="Normal"/>
    <w:link w:val="SansinterligneCar"/>
    <w:uiPriority w:val="1"/>
    <w:rsid w:val="001E7305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120" w:after="240"/>
      <w:jc w:val="both"/>
    </w:pPr>
    <w:rPr>
      <w:b/>
      <w:sz w:val="28"/>
      <w:szCs w:val="22"/>
    </w:rPr>
  </w:style>
  <w:style w:type="character" w:customStyle="1" w:styleId="SansinterligneCar">
    <w:name w:val="Sans interligne Car"/>
    <w:aliases w:val="Titre 11 Car"/>
    <w:basedOn w:val="Policepardfaut"/>
    <w:link w:val="Sansinterligne"/>
    <w:uiPriority w:val="1"/>
    <w:rsid w:val="001E7305"/>
    <w:rPr>
      <w:rFonts w:ascii="Arial" w:eastAsia="Times New Roman" w:hAnsi="Arial" w:cs="Times New Roman"/>
      <w:b/>
      <w:sz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490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11</cp:revision>
  <dcterms:created xsi:type="dcterms:W3CDTF">2014-07-20T19:34:00Z</dcterms:created>
  <dcterms:modified xsi:type="dcterms:W3CDTF">2024-04-17T11:29:00Z</dcterms:modified>
</cp:coreProperties>
</file>