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838"/>
        <w:gridCol w:w="6379"/>
        <w:gridCol w:w="13"/>
        <w:gridCol w:w="1686"/>
      </w:tblGrid>
      <w:tr w:rsidR="005941F7" w:rsidRPr="00F14B54" w14:paraId="7FF7ED4A" w14:textId="77777777" w:rsidTr="004E081F">
        <w:trPr>
          <w:trHeight w:val="386"/>
        </w:trPr>
        <w:tc>
          <w:tcPr>
            <w:tcW w:w="8230" w:type="dxa"/>
            <w:gridSpan w:val="3"/>
            <w:shd w:val="clear" w:color="auto" w:fill="92D050"/>
            <w:vAlign w:val="center"/>
          </w:tcPr>
          <w:p w14:paraId="3CB20047" w14:textId="2A2678F3" w:rsidR="005941F7" w:rsidRPr="00050E12" w:rsidRDefault="005941F7" w:rsidP="004E081F">
            <w:pPr>
              <w:pStyle w:val="Titre2"/>
              <w:spacing w:before="120"/>
              <w:jc w:val="center"/>
              <w:rPr>
                <w:color w:val="000000" w:themeColor="text1"/>
                <w:szCs w:val="22"/>
              </w:rPr>
            </w:pPr>
            <w:bookmarkStart w:id="0" w:name="_Hlk46182777"/>
            <w:bookmarkStart w:id="1" w:name="_Hlk46182592"/>
            <w:r w:rsidRPr="00050E12">
              <w:rPr>
                <w:color w:val="000000" w:themeColor="text1"/>
                <w:szCs w:val="22"/>
              </w:rPr>
              <w:t>Mission 0</w:t>
            </w:r>
            <w:r>
              <w:rPr>
                <w:color w:val="000000" w:themeColor="text1"/>
                <w:szCs w:val="22"/>
              </w:rPr>
              <w:t>3</w:t>
            </w:r>
            <w:r w:rsidRPr="00050E1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–</w:t>
            </w:r>
            <w:r w:rsidRPr="00050E1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Préparer le budget </w:t>
            </w:r>
            <w:r w:rsidR="009E1748">
              <w:rPr>
                <w:color w:val="000000" w:themeColor="text1"/>
                <w:szCs w:val="22"/>
              </w:rPr>
              <w:t>d’un chantier</w:t>
            </w:r>
          </w:p>
        </w:tc>
        <w:tc>
          <w:tcPr>
            <w:tcW w:w="1686" w:type="dxa"/>
            <w:shd w:val="clear" w:color="auto" w:fill="92D050"/>
          </w:tcPr>
          <w:p w14:paraId="13C176D1" w14:textId="77777777" w:rsidR="005941F7" w:rsidRPr="00F14B54" w:rsidRDefault="005941F7" w:rsidP="004E081F">
            <w:pPr>
              <w:pStyle w:val="Titre2"/>
              <w:spacing w:after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D985F1D" wp14:editId="29859801">
                  <wp:extent cx="900000" cy="572413"/>
                  <wp:effectExtent l="19050" t="19050" r="14605" b="18415"/>
                  <wp:docPr id="11" name="Image 11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900000" cy="572413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F7" w:rsidRPr="00F14B54" w14:paraId="660F4746" w14:textId="77777777" w:rsidTr="005941F7">
        <w:trPr>
          <w:trHeight w:val="386"/>
        </w:trPr>
        <w:tc>
          <w:tcPr>
            <w:tcW w:w="1838" w:type="dxa"/>
            <w:shd w:val="clear" w:color="auto" w:fill="92D050"/>
            <w:vAlign w:val="center"/>
          </w:tcPr>
          <w:p w14:paraId="65572704" w14:textId="3734FAA1" w:rsidR="005941F7" w:rsidRPr="00F14B54" w:rsidRDefault="005941F7" w:rsidP="004E081F">
            <w:pPr>
              <w:jc w:val="left"/>
              <w:rPr>
                <w:color w:val="000000" w:themeColor="text1"/>
              </w:rPr>
            </w:pPr>
            <w:r w:rsidRPr="00F14B54">
              <w:rPr>
                <w:color w:val="000000" w:themeColor="text1"/>
              </w:rPr>
              <w:t>Durée :</w:t>
            </w:r>
            <w:r>
              <w:rPr>
                <w:color w:val="000000" w:themeColor="text1"/>
              </w:rPr>
              <w:t xml:space="preserve"> 1 h</w:t>
            </w:r>
            <w:r w:rsidRPr="00F14B54">
              <w:rPr>
                <w:color w:val="000000" w:themeColor="text1"/>
              </w:rPr>
              <w:t xml:space="preserve"> </w:t>
            </w:r>
          </w:p>
        </w:tc>
        <w:tc>
          <w:tcPr>
            <w:tcW w:w="6379" w:type="dxa"/>
            <w:shd w:val="clear" w:color="auto" w:fill="92D050"/>
          </w:tcPr>
          <w:p w14:paraId="5B80BD76" w14:textId="67A87545" w:rsidR="005941F7" w:rsidRPr="00F14B54" w:rsidRDefault="00871F15" w:rsidP="004E081F">
            <w:pPr>
              <w:jc w:val="center"/>
              <w:rPr>
                <w:color w:val="000000" w:themeColor="text1"/>
              </w:rPr>
            </w:pPr>
            <w:r>
              <w:rPr>
                <w:i/>
                <w:noProof/>
              </w:rPr>
              <w:drawing>
                <wp:inline distT="0" distB="0" distL="0" distR="0" wp14:anchorId="53C17691" wp14:editId="30632C55">
                  <wp:extent cx="361950" cy="361950"/>
                  <wp:effectExtent l="0" t="0" r="0" b="0"/>
                  <wp:docPr id="6467105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3FEE7AE8" wp14:editId="5A35B533">
                  <wp:extent cx="398780" cy="361950"/>
                  <wp:effectExtent l="0" t="0" r="0" b="0"/>
                  <wp:docPr id="17285713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75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gridSpan w:val="2"/>
            <w:shd w:val="clear" w:color="auto" w:fill="92D050"/>
            <w:vAlign w:val="center"/>
          </w:tcPr>
          <w:p w14:paraId="74F13F1E" w14:textId="77777777" w:rsidR="005941F7" w:rsidRPr="00F14B54" w:rsidRDefault="005941F7" w:rsidP="004E0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Source | Excel</w:t>
            </w:r>
          </w:p>
        </w:tc>
      </w:tr>
    </w:tbl>
    <w:p w14:paraId="732E3F7D" w14:textId="77777777" w:rsidR="005941F7" w:rsidRDefault="005941F7" w:rsidP="005941F7">
      <w:pPr>
        <w:rPr>
          <w:rFonts w:cs="Arial"/>
          <w:sz w:val="18"/>
          <w:szCs w:val="18"/>
        </w:rPr>
      </w:pPr>
    </w:p>
    <w:bookmarkEnd w:id="0"/>
    <w:p w14:paraId="6F461A02" w14:textId="77777777" w:rsidR="009E1748" w:rsidRPr="00502E5E" w:rsidRDefault="009E1748" w:rsidP="009E174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L’entreprise</w:t>
      </w:r>
    </w:p>
    <w:p w14:paraId="6F60A381" w14:textId="79B9BAC5" w:rsidR="009E1748" w:rsidRPr="009E1748" w:rsidRDefault="009E1748" w:rsidP="009E1748">
      <w:pPr>
        <w:autoSpaceDE w:val="0"/>
        <w:autoSpaceDN w:val="0"/>
        <w:adjustRightInd w:val="0"/>
        <w:spacing w:before="120"/>
        <w:rPr>
          <w:color w:val="000000"/>
          <w:szCs w:val="20"/>
        </w:rPr>
      </w:pPr>
      <w:r w:rsidRPr="009E1748">
        <w:rPr>
          <w:color w:val="000000"/>
          <w:szCs w:val="20"/>
        </w:rPr>
        <w:t>La société</w:t>
      </w:r>
      <w:r w:rsidRPr="009E1748">
        <w:rPr>
          <w:b/>
          <w:bCs/>
          <w:color w:val="000000"/>
          <w:szCs w:val="20"/>
        </w:rPr>
        <w:t xml:space="preserve"> </w:t>
      </w:r>
      <w:r w:rsidRPr="009E1748">
        <w:rPr>
          <w:color w:val="000000"/>
          <w:szCs w:val="20"/>
        </w:rPr>
        <w:t xml:space="preserve">Charvin SA est une entreprise de maçonnerie et de travaux publics </w:t>
      </w:r>
      <w:r w:rsidR="00B25994">
        <w:rPr>
          <w:color w:val="000000"/>
          <w:szCs w:val="20"/>
        </w:rPr>
        <w:t>dirigée</w:t>
      </w:r>
      <w:r w:rsidRPr="009E1748">
        <w:rPr>
          <w:color w:val="000000"/>
          <w:szCs w:val="20"/>
        </w:rPr>
        <w:t xml:space="preserve"> par </w:t>
      </w:r>
      <w:r w:rsidRPr="00B25994">
        <w:rPr>
          <w:color w:val="000000"/>
          <w:szCs w:val="20"/>
        </w:rPr>
        <w:t>M. Charvin</w:t>
      </w:r>
      <w:r w:rsidRPr="009E1748">
        <w:rPr>
          <w:color w:val="000000"/>
          <w:szCs w:val="20"/>
        </w:rPr>
        <w:t xml:space="preserve">. Elle est spécialisée dans les travaux de maçonnerie et de terrassement pour les particuliers ou des collectivités publiques : </w:t>
      </w:r>
    </w:p>
    <w:p w14:paraId="696D718A" w14:textId="0719B9A9" w:rsidR="009E1748" w:rsidRPr="009E1748" w:rsidRDefault="009E1748" w:rsidP="009E174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 w:val="20"/>
          <w:szCs w:val="20"/>
        </w:rPr>
      </w:pPr>
      <w:r w:rsidRPr="009E1748">
        <w:rPr>
          <w:b/>
          <w:color w:val="000000"/>
          <w:sz w:val="20"/>
          <w:szCs w:val="20"/>
        </w:rPr>
        <w:t>Maçonnerie </w:t>
      </w:r>
      <w:r w:rsidRPr="009E1748">
        <w:rPr>
          <w:color w:val="000000"/>
          <w:sz w:val="20"/>
          <w:szCs w:val="20"/>
        </w:rPr>
        <w:t>: bâtiments, murs, maison</w:t>
      </w:r>
      <w:r w:rsidR="00B25994">
        <w:rPr>
          <w:color w:val="000000"/>
          <w:sz w:val="20"/>
          <w:szCs w:val="20"/>
        </w:rPr>
        <w:t>s</w:t>
      </w:r>
      <w:r w:rsidRPr="009E1748">
        <w:rPr>
          <w:color w:val="000000"/>
          <w:sz w:val="20"/>
          <w:szCs w:val="20"/>
        </w:rPr>
        <w:t>, petit</w:t>
      </w:r>
      <w:r w:rsidR="00B25994">
        <w:rPr>
          <w:color w:val="000000"/>
          <w:sz w:val="20"/>
          <w:szCs w:val="20"/>
        </w:rPr>
        <w:t>s</w:t>
      </w:r>
      <w:r w:rsidRPr="009E1748">
        <w:rPr>
          <w:color w:val="000000"/>
          <w:sz w:val="20"/>
          <w:szCs w:val="20"/>
        </w:rPr>
        <w:t xml:space="preserve"> immeubles, garage</w:t>
      </w:r>
      <w:r w:rsidR="00B25994">
        <w:rPr>
          <w:color w:val="000000"/>
          <w:sz w:val="20"/>
          <w:szCs w:val="20"/>
        </w:rPr>
        <w:t>s</w:t>
      </w:r>
      <w:r w:rsidRPr="009E1748">
        <w:rPr>
          <w:color w:val="000000"/>
          <w:sz w:val="20"/>
          <w:szCs w:val="20"/>
        </w:rPr>
        <w:t xml:space="preserve">, aménagements </w:t>
      </w:r>
      <w:r w:rsidR="00B25994">
        <w:rPr>
          <w:color w:val="000000"/>
          <w:sz w:val="20"/>
          <w:szCs w:val="20"/>
        </w:rPr>
        <w:t>urbains</w:t>
      </w:r>
      <w:r w:rsidRPr="009E1748">
        <w:rPr>
          <w:color w:val="000000"/>
          <w:sz w:val="20"/>
          <w:szCs w:val="20"/>
        </w:rPr>
        <w:t>….</w:t>
      </w:r>
    </w:p>
    <w:p w14:paraId="26A9A7B5" w14:textId="3D88A6B7" w:rsidR="009E1748" w:rsidRPr="00D87A01" w:rsidRDefault="009E1748" w:rsidP="009E174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60" w:line="259" w:lineRule="auto"/>
        <w:ind w:left="284" w:hanging="284"/>
        <w:jc w:val="left"/>
        <w:rPr>
          <w:color w:val="000000"/>
          <w:szCs w:val="20"/>
        </w:rPr>
      </w:pPr>
      <w:r w:rsidRPr="009E1748">
        <w:rPr>
          <w:b/>
          <w:color w:val="000000"/>
          <w:sz w:val="20"/>
          <w:szCs w:val="20"/>
        </w:rPr>
        <w:t>Terrassement et travaux publics</w:t>
      </w:r>
      <w:r w:rsidRPr="009E1748">
        <w:rPr>
          <w:color w:val="000000"/>
          <w:sz w:val="20"/>
          <w:szCs w:val="20"/>
        </w:rPr>
        <w:t xml:space="preserve"> : terrassements, route </w:t>
      </w:r>
      <w:r w:rsidR="00B25994">
        <w:rPr>
          <w:color w:val="000000"/>
          <w:sz w:val="20"/>
          <w:szCs w:val="20"/>
        </w:rPr>
        <w:t xml:space="preserve">(y compris en zones </w:t>
      </w:r>
      <w:proofErr w:type="spellStart"/>
      <w:r w:rsidR="00B25994">
        <w:rPr>
          <w:color w:val="000000"/>
          <w:sz w:val="20"/>
          <w:szCs w:val="20"/>
        </w:rPr>
        <w:t>difficiels</w:t>
      </w:r>
      <w:proofErr w:type="spellEnd"/>
      <w:r w:rsidR="00B25994">
        <w:rPr>
          <w:color w:val="000000"/>
          <w:sz w:val="20"/>
          <w:szCs w:val="20"/>
        </w:rPr>
        <w:t>)</w:t>
      </w:r>
      <w:r w:rsidRPr="009E1748">
        <w:rPr>
          <w:color w:val="000000"/>
          <w:sz w:val="20"/>
          <w:szCs w:val="20"/>
        </w:rPr>
        <w:t>, adduction</w:t>
      </w:r>
      <w:r w:rsidR="00B25994">
        <w:rPr>
          <w:color w:val="000000"/>
          <w:sz w:val="20"/>
          <w:szCs w:val="20"/>
        </w:rPr>
        <w:t>s</w:t>
      </w:r>
      <w:r w:rsidRPr="009E1748">
        <w:rPr>
          <w:color w:val="000000"/>
          <w:sz w:val="20"/>
          <w:szCs w:val="20"/>
        </w:rPr>
        <w:t xml:space="preserve"> d’eau, raccordement</w:t>
      </w:r>
      <w:r w:rsidR="00B25994">
        <w:rPr>
          <w:color w:val="000000"/>
          <w:sz w:val="20"/>
          <w:szCs w:val="20"/>
        </w:rPr>
        <w:t>s</w:t>
      </w:r>
      <w:r w:rsidRPr="00D87A01">
        <w:rPr>
          <w:color w:val="000000"/>
          <w:szCs w:val="20"/>
        </w:rPr>
        <w:t xml:space="preserve"> égout, etc.</w:t>
      </w:r>
    </w:p>
    <w:p w14:paraId="559385CC" w14:textId="77777777" w:rsidR="009E1748" w:rsidRPr="00502E5E" w:rsidRDefault="009E1748" w:rsidP="009E1748">
      <w:pPr>
        <w:rPr>
          <w:rFonts w:cs="Arial"/>
          <w:b/>
          <w:sz w:val="24"/>
        </w:rPr>
      </w:pPr>
      <w:r w:rsidRPr="00502E5E">
        <w:rPr>
          <w:rFonts w:cs="Arial"/>
          <w:b/>
          <w:sz w:val="24"/>
        </w:rPr>
        <w:t>Contexte professionnel</w:t>
      </w:r>
    </w:p>
    <w:p w14:paraId="1780C20C" w14:textId="77777777" w:rsidR="009E1748" w:rsidRDefault="009E1748" w:rsidP="009E1748">
      <w:pPr>
        <w:spacing w:before="120"/>
        <w:rPr>
          <w:rFonts w:cs="Arial"/>
          <w:szCs w:val="18"/>
        </w:rPr>
      </w:pPr>
      <w:r w:rsidRPr="00E67223">
        <w:rPr>
          <w:rFonts w:cs="Arial"/>
          <w:szCs w:val="18"/>
        </w:rPr>
        <w:t xml:space="preserve">La société a participé à un appel d'offres lancé par un promoteur immobilier concernant la construction </w:t>
      </w:r>
      <w:r>
        <w:rPr>
          <w:rFonts w:cs="Arial"/>
          <w:szCs w:val="18"/>
        </w:rPr>
        <w:t>d</w:t>
      </w:r>
      <w:r w:rsidRPr="00E67223">
        <w:rPr>
          <w:rFonts w:cs="Arial"/>
          <w:szCs w:val="18"/>
        </w:rPr>
        <w:t xml:space="preserve">e </w:t>
      </w:r>
      <w:r>
        <w:rPr>
          <w:rFonts w:cs="Arial"/>
          <w:szCs w:val="18"/>
        </w:rPr>
        <w:t>13</w:t>
      </w:r>
      <w:r w:rsidRPr="00E67223">
        <w:rPr>
          <w:rFonts w:cs="Arial"/>
          <w:szCs w:val="18"/>
        </w:rPr>
        <w:t xml:space="preserve"> maison</w:t>
      </w:r>
      <w:r>
        <w:rPr>
          <w:rFonts w:cs="Arial"/>
          <w:szCs w:val="18"/>
        </w:rPr>
        <w:t>s</w:t>
      </w:r>
      <w:r w:rsidRPr="00E6722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dans un</w:t>
      </w:r>
      <w:r w:rsidRPr="00E67223">
        <w:rPr>
          <w:rFonts w:cs="Arial"/>
          <w:szCs w:val="18"/>
        </w:rPr>
        <w:t xml:space="preserve"> lotissement</w:t>
      </w:r>
      <w:r>
        <w:rPr>
          <w:rFonts w:cs="Arial"/>
          <w:szCs w:val="18"/>
        </w:rPr>
        <w:t xml:space="preserve">. Le lot auquel elle a répondu concerne le terrassement (accès maison et creusement des fondations), les raccordements (eau, électricité) et la construction de la maison (maçonnerie). </w:t>
      </w:r>
    </w:p>
    <w:p w14:paraId="41A0FF28" w14:textId="77777777" w:rsidR="009E1748" w:rsidRDefault="009E1748" w:rsidP="009E1748">
      <w:pPr>
        <w:spacing w:before="240"/>
        <w:rPr>
          <w:rFonts w:cs="Arial"/>
          <w:szCs w:val="18"/>
        </w:rPr>
      </w:pPr>
      <w:r>
        <w:rPr>
          <w:rFonts w:cs="Arial"/>
          <w:szCs w:val="18"/>
        </w:rPr>
        <w:t>M. Charvin</w:t>
      </w:r>
      <w:r w:rsidRPr="00384F50">
        <w:rPr>
          <w:rFonts w:cs="Arial"/>
          <w:szCs w:val="18"/>
        </w:rPr>
        <w:t xml:space="preserve"> vient d'apprendre </w:t>
      </w:r>
      <w:r>
        <w:rPr>
          <w:rFonts w:cs="Arial"/>
          <w:szCs w:val="18"/>
        </w:rPr>
        <w:t>que l’entreprise a</w:t>
      </w:r>
      <w:r w:rsidRPr="00384F5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remporté</w:t>
      </w:r>
      <w:r w:rsidRPr="00384F50">
        <w:rPr>
          <w:rFonts w:cs="Arial"/>
          <w:szCs w:val="18"/>
        </w:rPr>
        <w:t xml:space="preserve"> l'appel d'offres </w:t>
      </w:r>
      <w:r>
        <w:rPr>
          <w:rFonts w:cs="Arial"/>
          <w:szCs w:val="18"/>
        </w:rPr>
        <w:t>et elle doit à présent</w:t>
      </w:r>
      <w:r w:rsidRPr="00384F50">
        <w:rPr>
          <w:rFonts w:cs="Arial"/>
          <w:szCs w:val="18"/>
        </w:rPr>
        <w:t xml:space="preserve"> planifier la construction </w:t>
      </w:r>
      <w:r>
        <w:rPr>
          <w:rFonts w:cs="Arial"/>
          <w:szCs w:val="18"/>
        </w:rPr>
        <w:t>d</w:t>
      </w:r>
      <w:r w:rsidRPr="00384F50">
        <w:rPr>
          <w:rFonts w:cs="Arial"/>
          <w:szCs w:val="18"/>
        </w:rPr>
        <w:t>es maisons</w:t>
      </w:r>
      <w:r>
        <w:rPr>
          <w:rFonts w:cs="Arial"/>
          <w:szCs w:val="18"/>
        </w:rPr>
        <w:t>.</w:t>
      </w:r>
    </w:p>
    <w:p w14:paraId="58696F3B" w14:textId="77777777" w:rsidR="009E1748" w:rsidRDefault="009E1748" w:rsidP="009E1748">
      <w:pPr>
        <w:spacing w:before="240"/>
        <w:rPr>
          <w:rFonts w:cs="Arial"/>
          <w:b/>
          <w:sz w:val="24"/>
        </w:rPr>
      </w:pPr>
      <w:r w:rsidRPr="00F14B54">
        <w:rPr>
          <w:rFonts w:cs="Arial"/>
          <w:b/>
          <w:sz w:val="24"/>
        </w:rPr>
        <w:t>Travail à faire</w:t>
      </w:r>
    </w:p>
    <w:p w14:paraId="5FDD1222" w14:textId="77777777" w:rsidR="009E1748" w:rsidRPr="00E83433" w:rsidRDefault="009E1748" w:rsidP="009E1748">
      <w:pPr>
        <w:spacing w:before="120"/>
        <w:rPr>
          <w:b/>
          <w:bCs/>
        </w:rPr>
      </w:pPr>
      <w:r w:rsidRPr="00E83433">
        <w:rPr>
          <w:b/>
          <w:bCs/>
        </w:rPr>
        <w:t>Planification des travaux</w:t>
      </w:r>
    </w:p>
    <w:p w14:paraId="3F0D8B2D" w14:textId="77777777" w:rsidR="009E1748" w:rsidRPr="009E1748" w:rsidRDefault="009E1748" w:rsidP="009E1748">
      <w:pPr>
        <w:pStyle w:val="Paragraphedeliste"/>
        <w:numPr>
          <w:ilvl w:val="0"/>
          <w:numId w:val="8"/>
        </w:numPr>
        <w:spacing w:before="120"/>
        <w:rPr>
          <w:sz w:val="20"/>
          <w:szCs w:val="20"/>
        </w:rPr>
      </w:pPr>
      <w:r w:rsidRPr="009E1748">
        <w:rPr>
          <w:rFonts w:cs="Arial"/>
          <w:sz w:val="20"/>
          <w:szCs w:val="20"/>
        </w:rPr>
        <w:t>À</w:t>
      </w:r>
      <w:r w:rsidRPr="009E1748">
        <w:rPr>
          <w:sz w:val="20"/>
          <w:szCs w:val="20"/>
        </w:rPr>
        <w:t xml:space="preserve"> l’aide des informations communiquées dans le </w:t>
      </w:r>
      <w:r w:rsidRPr="009E1748">
        <w:rPr>
          <w:b/>
          <w:bCs/>
          <w:sz w:val="20"/>
          <w:szCs w:val="20"/>
        </w:rPr>
        <w:t>document 1</w:t>
      </w:r>
      <w:r w:rsidRPr="009E1748">
        <w:rPr>
          <w:sz w:val="20"/>
          <w:szCs w:val="20"/>
        </w:rPr>
        <w:t>, calculez le nombre d’équipes nécessaires et en déduire le nombre de salariés à recruter.</w:t>
      </w:r>
    </w:p>
    <w:p w14:paraId="05A11B9D" w14:textId="77777777" w:rsidR="009E1748" w:rsidRPr="009E1748" w:rsidRDefault="009E1748" w:rsidP="009E1748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9E1748">
        <w:rPr>
          <w:sz w:val="20"/>
          <w:szCs w:val="20"/>
        </w:rPr>
        <w:t xml:space="preserve">Planifiez sur le </w:t>
      </w:r>
      <w:r w:rsidRPr="009E1748">
        <w:rPr>
          <w:b/>
          <w:bCs/>
          <w:sz w:val="20"/>
          <w:szCs w:val="20"/>
        </w:rPr>
        <w:t>document 2</w:t>
      </w:r>
      <w:r w:rsidRPr="009E1748">
        <w:rPr>
          <w:sz w:val="20"/>
          <w:szCs w:val="20"/>
        </w:rPr>
        <w:t>, la construction des 13 maisons en identifiant pour chaque maison la nature des travaux réalisés par les codes couleur indiqués en légende au bas du tableau.</w:t>
      </w:r>
    </w:p>
    <w:p w14:paraId="10ACF67B" w14:textId="77777777" w:rsidR="009E1748" w:rsidRPr="00E83433" w:rsidRDefault="009E1748" w:rsidP="009E1748">
      <w:pPr>
        <w:spacing w:before="120" w:after="120"/>
        <w:rPr>
          <w:b/>
          <w:bCs/>
        </w:rPr>
      </w:pPr>
      <w:r w:rsidRPr="00E83433">
        <w:rPr>
          <w:b/>
          <w:bCs/>
        </w:rPr>
        <w:t>Création du budget</w:t>
      </w:r>
      <w:r>
        <w:rPr>
          <w:b/>
          <w:bCs/>
        </w:rPr>
        <w:t xml:space="preserve"> financier</w:t>
      </w:r>
    </w:p>
    <w:p w14:paraId="5678991C" w14:textId="77777777" w:rsidR="009E1748" w:rsidRPr="009E1748" w:rsidRDefault="009E1748" w:rsidP="009E1748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9E1748">
        <w:rPr>
          <w:sz w:val="20"/>
          <w:szCs w:val="20"/>
        </w:rPr>
        <w:t xml:space="preserve">Calculez les dépenses mensuelles relatives aux salaires versés pour le chantier à l’aide des informations qui vous sont communiquées dans le </w:t>
      </w:r>
      <w:r w:rsidRPr="009E1748">
        <w:rPr>
          <w:b/>
          <w:bCs/>
          <w:sz w:val="20"/>
          <w:szCs w:val="20"/>
        </w:rPr>
        <w:t>document 3</w:t>
      </w:r>
      <w:r w:rsidRPr="009E1748">
        <w:rPr>
          <w:sz w:val="20"/>
          <w:szCs w:val="20"/>
        </w:rPr>
        <w:t>.</w:t>
      </w:r>
    </w:p>
    <w:p w14:paraId="6B96AB80" w14:textId="77777777" w:rsidR="009E1748" w:rsidRPr="009E1748" w:rsidRDefault="009E1748" w:rsidP="009E1748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9E1748">
        <w:rPr>
          <w:sz w:val="20"/>
          <w:szCs w:val="20"/>
        </w:rPr>
        <w:t xml:space="preserve">Budgétez les encaissements et les décaissements dans le document 4 à l’aide des informations qui vous sont communiquées dans le </w:t>
      </w:r>
      <w:r w:rsidRPr="009E1748">
        <w:rPr>
          <w:b/>
          <w:bCs/>
          <w:sz w:val="20"/>
          <w:szCs w:val="20"/>
        </w:rPr>
        <w:t>document 3</w:t>
      </w:r>
      <w:r w:rsidRPr="009E1748">
        <w:rPr>
          <w:sz w:val="20"/>
          <w:szCs w:val="20"/>
        </w:rPr>
        <w:t>.</w:t>
      </w:r>
    </w:p>
    <w:p w14:paraId="0E3E2FA9" w14:textId="74F4B02C" w:rsidR="009E1748" w:rsidRDefault="009E1748" w:rsidP="009E1748">
      <w:pPr>
        <w:pStyle w:val="Paragraphedeliste"/>
        <w:numPr>
          <w:ilvl w:val="0"/>
          <w:numId w:val="8"/>
        </w:numPr>
        <w:rPr>
          <w:sz w:val="20"/>
          <w:szCs w:val="20"/>
        </w:rPr>
      </w:pPr>
      <w:bookmarkStart w:id="2" w:name="_Hlk47021118"/>
      <w:bookmarkStart w:id="3" w:name="_Hlk46960481"/>
      <w:r w:rsidRPr="009E1748">
        <w:rPr>
          <w:sz w:val="20"/>
          <w:szCs w:val="20"/>
        </w:rPr>
        <w:t>Réalise</w:t>
      </w:r>
      <w:r>
        <w:rPr>
          <w:sz w:val="20"/>
          <w:szCs w:val="20"/>
        </w:rPr>
        <w:t>z</w:t>
      </w:r>
      <w:r w:rsidRPr="009E1748">
        <w:rPr>
          <w:sz w:val="20"/>
          <w:szCs w:val="20"/>
        </w:rPr>
        <w:t xml:space="preserve"> le bilan financier prévisionnel de l’opération (différence entre charges et produits</w:t>
      </w:r>
      <w:r>
        <w:rPr>
          <w:sz w:val="20"/>
          <w:szCs w:val="20"/>
        </w:rPr>
        <w:t>)</w:t>
      </w:r>
      <w:r w:rsidRPr="009E1748">
        <w:rPr>
          <w:sz w:val="20"/>
          <w:szCs w:val="20"/>
        </w:rPr>
        <w:t xml:space="preserve"> pour une maison et pour les 13 maisons en vous aidant des informations transmises dans le </w:t>
      </w:r>
      <w:r w:rsidRPr="009E1748">
        <w:rPr>
          <w:b/>
          <w:bCs/>
          <w:sz w:val="20"/>
          <w:szCs w:val="20"/>
        </w:rPr>
        <w:t>document 3</w:t>
      </w:r>
      <w:r w:rsidRPr="009E1748">
        <w:rPr>
          <w:sz w:val="20"/>
          <w:szCs w:val="20"/>
        </w:rPr>
        <w:t>.</w:t>
      </w:r>
    </w:p>
    <w:bookmarkEnd w:id="2"/>
    <w:p w14:paraId="3336BF43" w14:textId="77777777" w:rsidR="009E1748" w:rsidRPr="009E1748" w:rsidRDefault="009E1748" w:rsidP="009E1748">
      <w:pPr>
        <w:pStyle w:val="Paragraphedeliste"/>
        <w:ind w:left="360"/>
        <w:rPr>
          <w:sz w:val="20"/>
          <w:szCs w:val="20"/>
        </w:rPr>
      </w:pPr>
    </w:p>
    <w:bookmarkEnd w:id="3"/>
    <w:p w14:paraId="452354CA" w14:textId="77777777" w:rsidR="009E1748" w:rsidRPr="00E643A5" w:rsidRDefault="009E1748" w:rsidP="009E1748">
      <w:pPr>
        <w:spacing w:before="120"/>
        <w:jc w:val="left"/>
        <w:rPr>
          <w:rFonts w:cs="Arial"/>
          <w:b/>
          <w:sz w:val="24"/>
          <w:szCs w:val="18"/>
        </w:rPr>
      </w:pP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t>Doc. 1 </w:t>
      </w:r>
      <w:r w:rsidRPr="00050E12">
        <w:rPr>
          <w:rFonts w:cs="Arial"/>
          <w:b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>Contraintes techniques</w:t>
      </w:r>
    </w:p>
    <w:p w14:paraId="77789296" w14:textId="77777777" w:rsidR="009E1748" w:rsidRPr="006321D4" w:rsidRDefault="009E1748" w:rsidP="009E1748">
      <w:pPr>
        <w:pStyle w:val="Paragraphedeliste"/>
        <w:numPr>
          <w:ilvl w:val="0"/>
          <w:numId w:val="9"/>
        </w:numPr>
        <w:spacing w:before="120" w:after="120"/>
        <w:rPr>
          <w:rFonts w:cs="Arial"/>
          <w:b/>
          <w:bCs/>
          <w:szCs w:val="20"/>
        </w:rPr>
      </w:pPr>
      <w:r w:rsidRPr="006321D4">
        <w:rPr>
          <w:rFonts w:cs="Arial"/>
          <w:b/>
          <w:bCs/>
          <w:szCs w:val="20"/>
        </w:rPr>
        <w:t>Délais de construction</w:t>
      </w:r>
    </w:p>
    <w:p w14:paraId="679C8717" w14:textId="77777777" w:rsidR="009E1748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Pour chaque maison il faut prévoir :</w:t>
      </w:r>
    </w:p>
    <w:p w14:paraId="7AF76E45" w14:textId="77777777" w:rsidR="009E1748" w:rsidRPr="00384F50" w:rsidRDefault="009E1748" w:rsidP="009E1748">
      <w:pPr>
        <w:pStyle w:val="Paragraphedeliste"/>
        <w:numPr>
          <w:ilvl w:val="0"/>
          <w:numId w:val="6"/>
        </w:numPr>
        <w:ind w:left="284" w:hanging="284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Pr="00384F50">
        <w:rPr>
          <w:rFonts w:cs="Arial"/>
          <w:szCs w:val="18"/>
        </w:rPr>
        <w:t xml:space="preserve"> semaine </w:t>
      </w:r>
      <w:r>
        <w:rPr>
          <w:rFonts w:cs="Arial"/>
          <w:szCs w:val="18"/>
        </w:rPr>
        <w:t>pour réaliser le terrassement et creuser les fondations (une équipe terrassement),</w:t>
      </w:r>
    </w:p>
    <w:p w14:paraId="014E4302" w14:textId="77777777" w:rsidR="009E1748" w:rsidRDefault="009E1748" w:rsidP="009E1748">
      <w:pPr>
        <w:pStyle w:val="Paragraphedeliste"/>
        <w:numPr>
          <w:ilvl w:val="0"/>
          <w:numId w:val="6"/>
        </w:numPr>
        <w:ind w:left="284" w:hanging="284"/>
        <w:rPr>
          <w:rFonts w:cs="Arial"/>
          <w:szCs w:val="18"/>
        </w:rPr>
      </w:pPr>
      <w:r w:rsidRPr="00384F50">
        <w:rPr>
          <w:rFonts w:cs="Arial"/>
          <w:szCs w:val="18"/>
        </w:rPr>
        <w:t xml:space="preserve">1 semaine pour </w:t>
      </w:r>
      <w:r>
        <w:rPr>
          <w:rFonts w:cs="Arial"/>
          <w:szCs w:val="18"/>
        </w:rPr>
        <w:t>couler les fondations (une équipe</w:t>
      </w:r>
      <w:r w:rsidRPr="006321D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maçonnerie),</w:t>
      </w:r>
    </w:p>
    <w:p w14:paraId="326D539B" w14:textId="77777777" w:rsidR="009E1748" w:rsidRDefault="009E1748" w:rsidP="009E1748">
      <w:pPr>
        <w:pStyle w:val="Paragraphedeliste"/>
        <w:numPr>
          <w:ilvl w:val="0"/>
          <w:numId w:val="6"/>
        </w:numPr>
        <w:ind w:left="284" w:hanging="284"/>
        <w:rPr>
          <w:rFonts w:cs="Arial"/>
          <w:szCs w:val="18"/>
        </w:rPr>
      </w:pPr>
      <w:r>
        <w:rPr>
          <w:rFonts w:cs="Arial"/>
          <w:szCs w:val="18"/>
        </w:rPr>
        <w:t>4 semaines pour construire la maison (une équipe maçonnerie).</w:t>
      </w:r>
      <w:r w:rsidRPr="00384F50">
        <w:rPr>
          <w:rFonts w:cs="Arial"/>
          <w:szCs w:val="18"/>
        </w:rPr>
        <w:t xml:space="preserve">  </w:t>
      </w:r>
    </w:p>
    <w:p w14:paraId="272D3DC6" w14:textId="0430D6A6" w:rsidR="009E1748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(les 6 semaines au total inclue</w:t>
      </w:r>
      <w:r w:rsidR="00641240">
        <w:rPr>
          <w:rFonts w:cs="Arial"/>
          <w:szCs w:val="18"/>
        </w:rPr>
        <w:t>nt</w:t>
      </w:r>
      <w:r>
        <w:rPr>
          <w:rFonts w:cs="Arial"/>
          <w:szCs w:val="18"/>
        </w:rPr>
        <w:t xml:space="preserve"> une marge de sécurité pour les imprévues)</w:t>
      </w:r>
    </w:p>
    <w:p w14:paraId="0DA79974" w14:textId="77777777" w:rsidR="009E1748" w:rsidRPr="000266BB" w:rsidRDefault="009E1748" w:rsidP="009E1748">
      <w:pPr>
        <w:pStyle w:val="Paragraphedeliste"/>
        <w:numPr>
          <w:ilvl w:val="0"/>
          <w:numId w:val="9"/>
        </w:numPr>
        <w:spacing w:before="120" w:after="120"/>
        <w:rPr>
          <w:rFonts w:cs="Arial"/>
          <w:b/>
          <w:bCs/>
          <w:szCs w:val="20"/>
        </w:rPr>
      </w:pPr>
      <w:r w:rsidRPr="000266BB">
        <w:rPr>
          <w:rFonts w:cs="Arial"/>
          <w:b/>
          <w:bCs/>
          <w:szCs w:val="20"/>
        </w:rPr>
        <w:t>Le personnel</w:t>
      </w:r>
    </w:p>
    <w:p w14:paraId="71B6C207" w14:textId="77777777" w:rsidR="009E1748" w:rsidRPr="009E1748" w:rsidRDefault="009E1748" w:rsidP="009E1748">
      <w:pPr>
        <w:rPr>
          <w:rFonts w:cs="Arial"/>
          <w:sz w:val="18"/>
          <w:szCs w:val="16"/>
        </w:rPr>
      </w:pPr>
      <w:r w:rsidRPr="009E1748">
        <w:rPr>
          <w:rFonts w:cs="Arial"/>
          <w:sz w:val="18"/>
          <w:szCs w:val="16"/>
        </w:rPr>
        <w:t>L’entreprise emploie 20 personnes.</w:t>
      </w:r>
    </w:p>
    <w:p w14:paraId="0B3E88A9" w14:textId="77777777" w:rsidR="009E1748" w:rsidRPr="009E1748" w:rsidRDefault="009E1748" w:rsidP="009E1748">
      <w:pPr>
        <w:pStyle w:val="Paragraphedeliste"/>
        <w:numPr>
          <w:ilvl w:val="0"/>
          <w:numId w:val="7"/>
        </w:numPr>
        <w:ind w:left="284" w:hanging="284"/>
        <w:rPr>
          <w:rFonts w:cs="Arial"/>
          <w:sz w:val="20"/>
          <w:szCs w:val="16"/>
        </w:rPr>
      </w:pPr>
      <w:r w:rsidRPr="009E1748">
        <w:rPr>
          <w:rFonts w:cs="Arial"/>
          <w:sz w:val="20"/>
          <w:szCs w:val="16"/>
        </w:rPr>
        <w:t>4 salariés gèrent le travail administratif et commercial.</w:t>
      </w:r>
    </w:p>
    <w:p w14:paraId="790D6BDF" w14:textId="77777777" w:rsidR="009E1748" w:rsidRPr="009E1748" w:rsidRDefault="009E1748" w:rsidP="009E1748">
      <w:pPr>
        <w:pStyle w:val="Paragraphedeliste"/>
        <w:numPr>
          <w:ilvl w:val="0"/>
          <w:numId w:val="7"/>
        </w:numPr>
        <w:ind w:left="284" w:hanging="284"/>
        <w:rPr>
          <w:rFonts w:cs="Arial"/>
          <w:sz w:val="20"/>
          <w:szCs w:val="16"/>
        </w:rPr>
      </w:pPr>
      <w:r w:rsidRPr="009E1748">
        <w:rPr>
          <w:rFonts w:cs="Arial"/>
          <w:sz w:val="20"/>
          <w:szCs w:val="16"/>
        </w:rPr>
        <w:t>1 salarié gère l’entretien et la maintenance du matériel.</w:t>
      </w:r>
    </w:p>
    <w:p w14:paraId="12F037DC" w14:textId="66C60038" w:rsidR="009E1748" w:rsidRPr="009E1748" w:rsidRDefault="009E1748" w:rsidP="009E1748">
      <w:pPr>
        <w:pStyle w:val="Paragraphedeliste"/>
        <w:numPr>
          <w:ilvl w:val="0"/>
          <w:numId w:val="7"/>
        </w:numPr>
        <w:ind w:left="284" w:hanging="284"/>
        <w:rPr>
          <w:rFonts w:cs="Arial"/>
          <w:sz w:val="20"/>
          <w:szCs w:val="16"/>
        </w:rPr>
      </w:pPr>
      <w:r w:rsidRPr="009E1748">
        <w:rPr>
          <w:rFonts w:cs="Arial"/>
          <w:sz w:val="20"/>
          <w:szCs w:val="16"/>
        </w:rPr>
        <w:t xml:space="preserve">15 salariés sont </w:t>
      </w:r>
      <w:r w:rsidR="00641240">
        <w:rPr>
          <w:rFonts w:cs="Arial"/>
          <w:sz w:val="20"/>
          <w:szCs w:val="16"/>
        </w:rPr>
        <w:t>sur les chantiers</w:t>
      </w:r>
      <w:r w:rsidRPr="009E1748">
        <w:rPr>
          <w:rFonts w:cs="Arial"/>
          <w:sz w:val="20"/>
          <w:szCs w:val="16"/>
        </w:rPr>
        <w:t>. Ils travaillent par équipe de 3 personnes.</w:t>
      </w:r>
    </w:p>
    <w:p w14:paraId="249BB17D" w14:textId="77777777" w:rsidR="009E1748" w:rsidRPr="009E1748" w:rsidRDefault="009E1748" w:rsidP="009E1748">
      <w:pPr>
        <w:pStyle w:val="Paragraphedeliste"/>
        <w:numPr>
          <w:ilvl w:val="1"/>
          <w:numId w:val="7"/>
        </w:numPr>
        <w:ind w:left="567" w:hanging="283"/>
        <w:rPr>
          <w:rFonts w:cs="Arial"/>
          <w:sz w:val="20"/>
          <w:szCs w:val="16"/>
        </w:rPr>
      </w:pPr>
      <w:r w:rsidRPr="009E1748">
        <w:rPr>
          <w:rFonts w:cs="Arial"/>
          <w:sz w:val="20"/>
          <w:szCs w:val="16"/>
        </w:rPr>
        <w:t>2 équipes de 3 personnes sont spécialisées dans les travaux publics, le terrassement et les raccordements.</w:t>
      </w:r>
    </w:p>
    <w:p w14:paraId="03F4D597" w14:textId="77777777" w:rsidR="009E1748" w:rsidRPr="009E1748" w:rsidRDefault="009E1748" w:rsidP="009E1748">
      <w:pPr>
        <w:pStyle w:val="Paragraphedeliste"/>
        <w:numPr>
          <w:ilvl w:val="1"/>
          <w:numId w:val="7"/>
        </w:numPr>
        <w:ind w:left="567" w:hanging="283"/>
        <w:rPr>
          <w:rFonts w:cs="Arial"/>
          <w:sz w:val="20"/>
          <w:szCs w:val="16"/>
        </w:rPr>
      </w:pPr>
      <w:r w:rsidRPr="009E1748">
        <w:rPr>
          <w:rFonts w:cs="Arial"/>
          <w:sz w:val="20"/>
          <w:szCs w:val="16"/>
        </w:rPr>
        <w:t>3 équipes de 3 personnes sont spécialisées dans la maçonnerie.</w:t>
      </w:r>
    </w:p>
    <w:p w14:paraId="62B2B8C7" w14:textId="77777777" w:rsidR="009E1748" w:rsidRDefault="009E1748" w:rsidP="009E1748">
      <w:pPr>
        <w:spacing w:before="120"/>
        <w:rPr>
          <w:rFonts w:cs="Arial"/>
          <w:szCs w:val="18"/>
        </w:rPr>
      </w:pPr>
      <w:r>
        <w:rPr>
          <w:rFonts w:cs="Arial"/>
          <w:szCs w:val="18"/>
        </w:rPr>
        <w:t>Chaque équipe est composée d’un chef d’équipe et de 2 ouvriers qualifiés.</w:t>
      </w:r>
    </w:p>
    <w:p w14:paraId="7D678999" w14:textId="77777777" w:rsidR="009E1748" w:rsidRDefault="009E1748" w:rsidP="009E1748">
      <w:pPr>
        <w:spacing w:before="120"/>
        <w:rPr>
          <w:rFonts w:cs="Arial"/>
          <w:szCs w:val="18"/>
        </w:rPr>
      </w:pPr>
      <w:r>
        <w:rPr>
          <w:rFonts w:cs="Arial"/>
          <w:szCs w:val="18"/>
        </w:rPr>
        <w:t xml:space="preserve">L’intégralité des équipes ne peut pas travailler sur ce projet, car l’entreprise doit continuer à répondre aux commandes de ses autres clients. L’entreprise peut affecter au projet 1 équipe de terrassement et 1 seule équipe de maçons. </w:t>
      </w:r>
    </w:p>
    <w:p w14:paraId="0816B496" w14:textId="52DEF2D1" w:rsidR="009E1748" w:rsidRDefault="009E1748" w:rsidP="009E1748">
      <w:pPr>
        <w:spacing w:before="120"/>
        <w:rPr>
          <w:rFonts w:cs="Arial"/>
          <w:szCs w:val="18"/>
        </w:rPr>
      </w:pPr>
      <w:r>
        <w:rPr>
          <w:rFonts w:cs="Arial"/>
          <w:szCs w:val="18"/>
        </w:rPr>
        <w:t xml:space="preserve">M. Charvin souhaite qu’une même équipe coule les fondations et réalise la maçonnerie d’une maison. </w:t>
      </w:r>
    </w:p>
    <w:p w14:paraId="6A1A97A9" w14:textId="77777777" w:rsidR="009E1748" w:rsidRPr="00E643A5" w:rsidRDefault="009E1748" w:rsidP="009E1748">
      <w:pPr>
        <w:spacing w:before="120"/>
        <w:jc w:val="left"/>
        <w:rPr>
          <w:rFonts w:cs="Arial"/>
          <w:b/>
          <w:sz w:val="24"/>
          <w:szCs w:val="18"/>
        </w:rPr>
      </w:pP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lastRenderedPageBreak/>
        <w:t xml:space="preserve">Doc. </w:t>
      </w:r>
      <w:r>
        <w:rPr>
          <w:rFonts w:cs="Arial"/>
          <w:b/>
          <w:color w:val="FFFFFF" w:themeColor="background1"/>
          <w:sz w:val="24"/>
          <w:szCs w:val="18"/>
          <w:highlight w:val="red"/>
        </w:rPr>
        <w:t>2</w:t>
      </w: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t> </w:t>
      </w:r>
      <w:r w:rsidRPr="00050E12">
        <w:rPr>
          <w:rFonts w:cs="Arial"/>
          <w:b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>Planning de construction</w:t>
      </w:r>
    </w:p>
    <w:p w14:paraId="19391EF1" w14:textId="77777777" w:rsidR="009E1748" w:rsidRPr="00B7469B" w:rsidRDefault="009E1748" w:rsidP="009E1748">
      <w:pPr>
        <w:rPr>
          <w:rFonts w:cs="Arial"/>
          <w:sz w:val="12"/>
          <w:szCs w:val="12"/>
        </w:rPr>
      </w:pPr>
    </w:p>
    <w:p w14:paraId="3F64B049" w14:textId="77777777" w:rsidR="009E1748" w:rsidRPr="008A3431" w:rsidRDefault="009E1748" w:rsidP="009E1748">
      <w:pPr>
        <w:rPr>
          <w:sz w:val="6"/>
          <w:szCs w:val="4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52"/>
        <w:gridCol w:w="352"/>
        <w:gridCol w:w="352"/>
        <w:gridCol w:w="352"/>
        <w:gridCol w:w="353"/>
        <w:gridCol w:w="353"/>
        <w:gridCol w:w="353"/>
        <w:gridCol w:w="353"/>
        <w:gridCol w:w="360"/>
        <w:gridCol w:w="360"/>
        <w:gridCol w:w="353"/>
        <w:gridCol w:w="353"/>
        <w:gridCol w:w="360"/>
        <w:gridCol w:w="360"/>
        <w:gridCol w:w="360"/>
        <w:gridCol w:w="35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1748" w:rsidRPr="0064130A" w14:paraId="3095FE06" w14:textId="77777777" w:rsidTr="00B871E9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CBA4DB" w14:textId="77777777" w:rsidR="009E1748" w:rsidRPr="0064130A" w:rsidRDefault="009E1748" w:rsidP="00B871E9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Maisons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803235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</w:t>
            </w: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ars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13147D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A</w:t>
            </w: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vril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05D535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</w:t>
            </w: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ai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D104E8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J</w:t>
            </w: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uin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B60A08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J</w:t>
            </w: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uillet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AB8EE6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Août</w:t>
            </w:r>
          </w:p>
        </w:tc>
      </w:tr>
      <w:tr w:rsidR="009E1748" w:rsidRPr="0064130A" w14:paraId="2AEAD5B3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850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C8B727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E2745C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3ADEC9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5A474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C6C5FC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A2527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9E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09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21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1C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00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BC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E8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01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46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21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4D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A1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DB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21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B1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98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A7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6D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28CA36FB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8F7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367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EA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85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B1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88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1B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D4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2D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45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45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BD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49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3C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41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F5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D2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DE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9B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06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D6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62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05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0D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72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1D76DD22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D6B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198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11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4B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B6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FF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05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D6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9C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197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7D79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69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BE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21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A2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FF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0D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83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A6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79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81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CF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BE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80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1B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6123FDDB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A4B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13F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D6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26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FC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16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76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17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3E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1A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95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87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34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47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E2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3B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3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D9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83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49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E9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75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2D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2E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11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3583CCDE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478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760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82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86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1E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B6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A85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ED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A0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5F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94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BE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FF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DB4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FFA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EA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4B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AE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85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B5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0F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1E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CC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A7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53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41A4393E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3F9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8A55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58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66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8A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9D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10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85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CB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E3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97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C0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1E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1D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2A6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25B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B7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23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D0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84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C1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47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A1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E0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B8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472C41F2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221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754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51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A2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CC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02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46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D0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64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2B6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6C7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EC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B3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18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42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AA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9D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48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A62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FC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AA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75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C0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CE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D4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76083A0D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300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18F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B6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FA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7D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56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61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BC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D9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94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58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F0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86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DF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73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43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46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5C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B94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2A1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9B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E8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A5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47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CE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72A07519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E84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94B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5D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01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E9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BC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A1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E2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88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70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44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23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F0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D4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56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A5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D9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2F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3F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FD0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A51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8A0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E10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0C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1B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5639AA8C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2AF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E21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78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56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54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8F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73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81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0C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55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E07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C1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50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E6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30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0A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19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B4D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CE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C5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98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5A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77A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9AC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A1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31B4A12D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B0A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B33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41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0D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73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54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8B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4A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34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5A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D9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0A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3A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89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8A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B3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5E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B1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9B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86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AD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CB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4A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5C8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779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</w:tr>
      <w:tr w:rsidR="009E1748" w:rsidRPr="0064130A" w14:paraId="01EC409F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B7A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93F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E88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65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9A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6F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5A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DC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EC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8C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DBD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24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EF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27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85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1B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3C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05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02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CB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73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E4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38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573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F5A" w14:textId="77777777" w:rsidR="009E1748" w:rsidRPr="0064130A" w:rsidRDefault="009E1748" w:rsidP="00B871E9">
            <w:pPr>
              <w:jc w:val="left"/>
              <w:rPr>
                <w:rFonts w:eastAsia="Times New Roman" w:cs="Arial"/>
                <w:color w:val="000000"/>
                <w:sz w:val="22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22"/>
                <w:lang w:eastAsia="fr-FR"/>
              </w:rPr>
              <w:t> </w:t>
            </w:r>
          </w:p>
        </w:tc>
      </w:tr>
      <w:tr w:rsidR="009E1748" w:rsidRPr="0064130A" w14:paraId="282C980A" w14:textId="77777777" w:rsidTr="00B871E9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DD4" w14:textId="77777777" w:rsidR="009E1748" w:rsidRPr="0064130A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413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575" w14:textId="77777777" w:rsidR="009E1748" w:rsidRPr="0064130A" w:rsidRDefault="009E1748" w:rsidP="00B871E9">
            <w:pPr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22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1F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77C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25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95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35A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7E1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7D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80B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CA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8E7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0E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DF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9DE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404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32D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840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676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655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012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089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41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69F" w14:textId="77777777" w:rsidR="009E1748" w:rsidRPr="0064130A" w:rsidRDefault="009E1748" w:rsidP="00B871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64130A" w14:paraId="6F6D84A3" w14:textId="77777777" w:rsidTr="00B871E9">
        <w:trPr>
          <w:trHeight w:val="170"/>
        </w:trPr>
        <w:tc>
          <w:tcPr>
            <w:tcW w:w="93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F26" w14:textId="77777777" w:rsidR="009E1748" w:rsidRPr="0064130A" w:rsidRDefault="009E1748" w:rsidP="00B871E9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fr-FR"/>
              </w:rPr>
              <w:t>Légende</w:t>
            </w:r>
          </w:p>
        </w:tc>
      </w:tr>
      <w:tr w:rsidR="009E1748" w:rsidRPr="0064130A" w14:paraId="341F6CC9" w14:textId="77777777" w:rsidTr="00B871E9">
        <w:trPr>
          <w:trHeight w:val="1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864744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4D4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Terrassement et raccordement</w:t>
            </w:r>
          </w:p>
        </w:tc>
      </w:tr>
      <w:tr w:rsidR="009E1748" w:rsidRPr="0064130A" w14:paraId="4FE13174" w14:textId="77777777" w:rsidTr="00B871E9">
        <w:trPr>
          <w:trHeight w:val="1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9D37B5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8AF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Fondation</w:t>
            </w:r>
          </w:p>
        </w:tc>
      </w:tr>
      <w:tr w:rsidR="009E1748" w:rsidRPr="0064130A" w14:paraId="0E6D6320" w14:textId="77777777" w:rsidTr="00B871E9">
        <w:trPr>
          <w:trHeight w:val="1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330B9B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253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Maçonnerie</w:t>
            </w:r>
          </w:p>
        </w:tc>
      </w:tr>
      <w:tr w:rsidR="009E1748" w:rsidRPr="0064130A" w14:paraId="4BC8BF1A" w14:textId="77777777" w:rsidTr="00B871E9">
        <w:trPr>
          <w:trHeight w:val="1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79A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1, 2</w:t>
            </w:r>
          </w:p>
        </w:tc>
        <w:tc>
          <w:tcPr>
            <w:tcW w:w="85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287" w14:textId="77777777" w:rsidR="009E1748" w:rsidRPr="0064130A" w:rsidRDefault="009E1748" w:rsidP="00B871E9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64130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Numéro des équipes de maçonnerie</w:t>
            </w:r>
          </w:p>
        </w:tc>
      </w:tr>
    </w:tbl>
    <w:p w14:paraId="6F581E3C" w14:textId="77777777" w:rsidR="009E1748" w:rsidRPr="00E643A5" w:rsidRDefault="009E1748" w:rsidP="009E1748">
      <w:pPr>
        <w:spacing w:before="240"/>
        <w:jc w:val="left"/>
        <w:rPr>
          <w:rFonts w:cs="Arial"/>
          <w:b/>
          <w:sz w:val="24"/>
          <w:szCs w:val="18"/>
        </w:rPr>
      </w:pP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szCs w:val="18"/>
          <w:highlight w:val="red"/>
        </w:rPr>
        <w:t>3</w:t>
      </w: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t> </w:t>
      </w:r>
      <w:r w:rsidRPr="00050E12">
        <w:rPr>
          <w:rFonts w:cs="Arial"/>
          <w:b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>Données budgétaires du chantier</w:t>
      </w:r>
    </w:p>
    <w:p w14:paraId="228CE32D" w14:textId="77777777" w:rsidR="009E1748" w:rsidRDefault="009E1748" w:rsidP="009E1748">
      <w:pPr>
        <w:pStyle w:val="Paragraphedeliste"/>
        <w:numPr>
          <w:ilvl w:val="0"/>
          <w:numId w:val="9"/>
        </w:numPr>
        <w:spacing w:before="120" w:after="1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Encaissements propres au chantier</w:t>
      </w:r>
    </w:p>
    <w:p w14:paraId="11F40719" w14:textId="77777777" w:rsidR="009E1748" w:rsidRDefault="009E1748" w:rsidP="009E1748">
      <w:pPr>
        <w:rPr>
          <w:rFonts w:cs="Arial"/>
          <w:szCs w:val="18"/>
        </w:rPr>
      </w:pPr>
      <w:r w:rsidRPr="00E83433">
        <w:rPr>
          <w:rFonts w:cs="Arial"/>
          <w:szCs w:val="18"/>
        </w:rPr>
        <w:t xml:space="preserve">Chaque maison est </w:t>
      </w:r>
      <w:r>
        <w:rPr>
          <w:rFonts w:cs="Arial"/>
          <w:szCs w:val="18"/>
        </w:rPr>
        <w:t>facturée au promoteur 100 000 €. Le paiement par le promoteur est le suivant 20 % la semaine du début des travaux d’une maison, 60 % la semaine qui suit la fin des travaux et le solde la première semaine du mois qui suit la fin des travaux.</w:t>
      </w:r>
    </w:p>
    <w:p w14:paraId="59C10413" w14:textId="74500C2B" w:rsidR="009E1748" w:rsidRPr="00E83433" w:rsidRDefault="009E1748" w:rsidP="009E1748">
      <w:pPr>
        <w:pStyle w:val="Paragraphedeliste"/>
        <w:numPr>
          <w:ilvl w:val="0"/>
          <w:numId w:val="9"/>
        </w:numPr>
        <w:spacing w:before="120" w:after="1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Fournitures direct</w:t>
      </w:r>
      <w:r w:rsidR="00641240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s chantier</w:t>
      </w:r>
    </w:p>
    <w:p w14:paraId="5CC63D5E" w14:textId="77777777" w:rsidR="009E1748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Fournitures et frais liés au terrassement : 5 000 € payés comptant,</w:t>
      </w:r>
    </w:p>
    <w:p w14:paraId="3C2D31A4" w14:textId="77777777" w:rsidR="009E1748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Fournitures et frais liés à la maçonnerie des fondations : 7 000 € payés à 30 Jours,</w:t>
      </w:r>
    </w:p>
    <w:p w14:paraId="2CD62909" w14:textId="77777777" w:rsidR="009E1748" w:rsidRPr="00E83433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Fournitures et frais liés à la maçonnerie : 30 000 € payés à 30 jours après la fin de la maison.</w:t>
      </w:r>
    </w:p>
    <w:p w14:paraId="2EF10A8C" w14:textId="77777777" w:rsidR="009E1748" w:rsidRPr="000266BB" w:rsidRDefault="009E1748" w:rsidP="009E1748">
      <w:pPr>
        <w:pStyle w:val="Paragraphedeliste"/>
        <w:numPr>
          <w:ilvl w:val="0"/>
          <w:numId w:val="9"/>
        </w:numPr>
        <w:spacing w:before="120" w:after="1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Salaires directs</w:t>
      </w:r>
      <w:r w:rsidRPr="00935F82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chantier</w:t>
      </w:r>
    </w:p>
    <w:p w14:paraId="702E7340" w14:textId="77777777" w:rsidR="009E1748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La rémunération des chefs d’équipe est de 2 500 € brut et de 2 000 € brut pour les ouvriers qualifiés. Les charges patronales calculées sur le brut sont de 35 %. Les salaires et les charges sont payés le 5 du mois suivant.</w:t>
      </w:r>
    </w:p>
    <w:p w14:paraId="410848A6" w14:textId="77777777" w:rsidR="009E1748" w:rsidRPr="000266BB" w:rsidRDefault="009E1748" w:rsidP="009E1748">
      <w:pPr>
        <w:pStyle w:val="Paragraphedeliste"/>
        <w:numPr>
          <w:ilvl w:val="0"/>
          <w:numId w:val="9"/>
        </w:numPr>
        <w:spacing w:before="120" w:after="1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Charges indirectes chantier</w:t>
      </w:r>
    </w:p>
    <w:p w14:paraId="75D7DF71" w14:textId="77777777" w:rsidR="009E1748" w:rsidRDefault="009E1748" w:rsidP="009E1748">
      <w:pPr>
        <w:rPr>
          <w:rFonts w:cs="Arial"/>
          <w:szCs w:val="18"/>
        </w:rPr>
      </w:pPr>
      <w:r>
        <w:rPr>
          <w:rFonts w:cs="Arial"/>
          <w:szCs w:val="18"/>
        </w:rPr>
        <w:t>Les charges par chantier sont les suivantes :</w:t>
      </w:r>
    </w:p>
    <w:p w14:paraId="75A3FBC4" w14:textId="77777777" w:rsidR="009E1748" w:rsidRPr="00294031" w:rsidRDefault="009E1748" w:rsidP="009E1748">
      <w:pPr>
        <w:pStyle w:val="Paragraphedeliste"/>
        <w:numPr>
          <w:ilvl w:val="0"/>
          <w:numId w:val="10"/>
        </w:numPr>
        <w:rPr>
          <w:rFonts w:cs="Arial"/>
          <w:szCs w:val="18"/>
        </w:rPr>
      </w:pPr>
      <w:r w:rsidRPr="00294031">
        <w:rPr>
          <w:rFonts w:cs="Arial"/>
          <w:szCs w:val="18"/>
        </w:rPr>
        <w:t>frais techniques entretien et maintenance</w:t>
      </w:r>
      <w:r>
        <w:rPr>
          <w:rFonts w:cs="Arial"/>
          <w:szCs w:val="18"/>
        </w:rPr>
        <w:t xml:space="preserve"> : </w:t>
      </w:r>
      <w:r w:rsidRPr="00294031">
        <w:rPr>
          <w:rFonts w:cs="Arial"/>
          <w:szCs w:val="18"/>
        </w:rPr>
        <w:t>5 % du montant facturé</w:t>
      </w:r>
      <w:r>
        <w:rPr>
          <w:rFonts w:cs="Arial"/>
          <w:szCs w:val="18"/>
        </w:rPr>
        <w:t>,</w:t>
      </w:r>
    </w:p>
    <w:p w14:paraId="2EFE8903" w14:textId="77777777" w:rsidR="009E1748" w:rsidRPr="00294031" w:rsidRDefault="009E1748" w:rsidP="009E1748">
      <w:pPr>
        <w:pStyle w:val="Paragraphedeliste"/>
        <w:numPr>
          <w:ilvl w:val="0"/>
          <w:numId w:val="10"/>
        </w:numPr>
        <w:rPr>
          <w:rFonts w:cs="Arial"/>
          <w:szCs w:val="18"/>
        </w:rPr>
      </w:pPr>
      <w:r>
        <w:rPr>
          <w:rFonts w:cs="Arial"/>
          <w:szCs w:val="18"/>
        </w:rPr>
        <w:t>frais administratifs : 9</w:t>
      </w:r>
      <w:r w:rsidRPr="00294031">
        <w:rPr>
          <w:rFonts w:cs="Arial"/>
          <w:szCs w:val="18"/>
        </w:rPr>
        <w:t xml:space="preserve"> % du montant facturé</w:t>
      </w:r>
      <w:r>
        <w:rPr>
          <w:rFonts w:cs="Arial"/>
          <w:szCs w:val="18"/>
        </w:rPr>
        <w:t>.</w:t>
      </w:r>
    </w:p>
    <w:p w14:paraId="75DB06D6" w14:textId="77777777" w:rsidR="009E1748" w:rsidRDefault="009E1748" w:rsidP="009E1748">
      <w:pPr>
        <w:rPr>
          <w:rFonts w:cs="Arial"/>
          <w:szCs w:val="18"/>
        </w:rPr>
      </w:pPr>
    </w:p>
    <w:p w14:paraId="6EA23C45" w14:textId="77777777" w:rsidR="009E1748" w:rsidRPr="00E643A5" w:rsidRDefault="009E1748" w:rsidP="009E1748">
      <w:pPr>
        <w:spacing w:before="120"/>
        <w:jc w:val="left"/>
        <w:rPr>
          <w:rFonts w:cs="Arial"/>
          <w:b/>
          <w:sz w:val="24"/>
          <w:szCs w:val="18"/>
        </w:rPr>
      </w:pP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szCs w:val="18"/>
          <w:highlight w:val="red"/>
        </w:rPr>
        <w:t>4</w:t>
      </w:r>
      <w:r w:rsidRPr="00050E12">
        <w:rPr>
          <w:rFonts w:cs="Arial"/>
          <w:b/>
          <w:color w:val="FFFFFF" w:themeColor="background1"/>
          <w:sz w:val="24"/>
          <w:szCs w:val="18"/>
          <w:highlight w:val="red"/>
        </w:rPr>
        <w:t> </w:t>
      </w:r>
      <w:r w:rsidRPr="00050E12">
        <w:rPr>
          <w:rFonts w:cs="Arial"/>
          <w:b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>Budget des encaissements et décaissements</w:t>
      </w:r>
    </w:p>
    <w:p w14:paraId="60EF1F12" w14:textId="77777777" w:rsidR="009E1748" w:rsidRDefault="009E1748" w:rsidP="009E1748"/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82"/>
        <w:gridCol w:w="1082"/>
        <w:gridCol w:w="1080"/>
        <w:gridCol w:w="1080"/>
        <w:gridCol w:w="1083"/>
        <w:gridCol w:w="1082"/>
        <w:gridCol w:w="1091"/>
        <w:gridCol w:w="1087"/>
      </w:tblGrid>
      <w:tr w:rsidR="009E1748" w:rsidRPr="00935F82" w14:paraId="71CB9544" w14:textId="77777777" w:rsidTr="00B871E9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87E70E" w14:textId="77777777" w:rsidR="009E1748" w:rsidRPr="00935F82" w:rsidRDefault="009E1748" w:rsidP="00B871E9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B7E50C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DAB27D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avril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FE1092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mai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CE7C7D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juin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8AC43E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juillet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974987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août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EC9310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2B08C" w14:textId="77777777" w:rsidR="009E1748" w:rsidRPr="00935F82" w:rsidRDefault="009E1748" w:rsidP="00B871E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octobre</w:t>
            </w:r>
          </w:p>
        </w:tc>
      </w:tr>
      <w:tr w:rsidR="009E1748" w:rsidRPr="00935F82" w14:paraId="61E7025E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A90" w14:textId="77777777" w:rsidR="009E1748" w:rsidRPr="00935F82" w:rsidRDefault="009E1748" w:rsidP="00B871E9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Encaissements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FB4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A9E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B27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324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35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BBF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B00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5F6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6E970949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C3B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CB3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63C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BA1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E7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72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A5F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64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136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5B4F3033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91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D5C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DC5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CA5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AFB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E6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F3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41D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BEE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6FDE5251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F8EADA" w14:textId="77777777" w:rsidR="009E1748" w:rsidRPr="00935F82" w:rsidRDefault="009E1748" w:rsidP="00B871E9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Totaux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565AE6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EA221D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2B966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363F37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24119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3F4A6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8D4484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8A6F5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257CF77A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4FA" w14:textId="77777777" w:rsidR="009E1748" w:rsidRPr="00935F82" w:rsidRDefault="009E1748" w:rsidP="00B871E9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Décaissements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5DC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700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8D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E25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193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FF7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F3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50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079B2F97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AE0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F20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9BE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3ED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624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AC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B8F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79C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C6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36F1DF01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665B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B3B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F0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5A0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E4C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4E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D8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A6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D8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27E384E3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D9F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8CE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45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10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18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18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A86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3C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5F9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49C681CB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3B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98D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E0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AFA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E64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671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4CD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55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5A3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35630561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1F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BA8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E3C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218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BCD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5B2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890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6F3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951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E1748" w:rsidRPr="00935F82" w14:paraId="6A7C87AB" w14:textId="77777777" w:rsidTr="00B871E9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D2229F" w14:textId="77777777" w:rsidR="009E1748" w:rsidRPr="00935F82" w:rsidRDefault="009E1748" w:rsidP="00B871E9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Totaux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86F312" w14:textId="77777777" w:rsidR="009E1748" w:rsidRPr="00935F82" w:rsidRDefault="009E1748" w:rsidP="00B871E9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27D40D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FEE0BE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00DA0E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B9F651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2B7A35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FC3BF6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953E1C" w14:textId="77777777" w:rsidR="009E1748" w:rsidRPr="00935F82" w:rsidRDefault="009E1748" w:rsidP="00B871E9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935F8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06BCA1D0" w14:textId="77777777" w:rsidR="005941F7" w:rsidRDefault="005941F7" w:rsidP="005941F7">
      <w:r>
        <w:lastRenderedPageBreak/>
        <w:br w:type="page"/>
      </w:r>
    </w:p>
    <w:bookmarkEnd w:id="1"/>
    <w:p w14:paraId="5E8B82E6" w14:textId="77777777" w:rsidR="001B71D6" w:rsidRPr="005941F7" w:rsidRDefault="001B71D6" w:rsidP="005941F7"/>
    <w:sectPr w:rsidR="001B71D6" w:rsidRPr="005941F7" w:rsidSect="00F05FA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5D4"/>
    <w:multiLevelType w:val="hybridMultilevel"/>
    <w:tmpl w:val="409E5F36"/>
    <w:lvl w:ilvl="0" w:tplc="8F3A41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41B30"/>
    <w:multiLevelType w:val="hybridMultilevel"/>
    <w:tmpl w:val="4BE4E7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23E69"/>
    <w:multiLevelType w:val="hybridMultilevel"/>
    <w:tmpl w:val="1220C1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B7FCE"/>
    <w:multiLevelType w:val="hybridMultilevel"/>
    <w:tmpl w:val="CEF0868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E7C37"/>
    <w:multiLevelType w:val="multilevel"/>
    <w:tmpl w:val="7690F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996264C"/>
    <w:multiLevelType w:val="hybridMultilevel"/>
    <w:tmpl w:val="B1FE0704"/>
    <w:lvl w:ilvl="0" w:tplc="10980EFC">
      <w:start w:val="9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522AB"/>
    <w:multiLevelType w:val="hybridMultilevel"/>
    <w:tmpl w:val="36EA1DCA"/>
    <w:lvl w:ilvl="0" w:tplc="10980EFC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C4636"/>
    <w:multiLevelType w:val="hybridMultilevel"/>
    <w:tmpl w:val="AC12ADBE"/>
    <w:lvl w:ilvl="0" w:tplc="10980EFC">
      <w:start w:val="9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6123094">
    <w:abstractNumId w:val="8"/>
  </w:num>
  <w:num w:numId="2" w16cid:durableId="474104920">
    <w:abstractNumId w:val="3"/>
  </w:num>
  <w:num w:numId="3" w16cid:durableId="1422725859">
    <w:abstractNumId w:val="2"/>
  </w:num>
  <w:num w:numId="4" w16cid:durableId="536938523">
    <w:abstractNumId w:val="1"/>
  </w:num>
  <w:num w:numId="5" w16cid:durableId="2146315115">
    <w:abstractNumId w:val="5"/>
  </w:num>
  <w:num w:numId="6" w16cid:durableId="876897540">
    <w:abstractNumId w:val="9"/>
  </w:num>
  <w:num w:numId="7" w16cid:durableId="308483302">
    <w:abstractNumId w:val="7"/>
  </w:num>
  <w:num w:numId="8" w16cid:durableId="1778215948">
    <w:abstractNumId w:val="6"/>
  </w:num>
  <w:num w:numId="9" w16cid:durableId="1774323069">
    <w:abstractNumId w:val="4"/>
  </w:num>
  <w:num w:numId="10" w16cid:durableId="79726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C"/>
    <w:rsid w:val="00071930"/>
    <w:rsid w:val="00076454"/>
    <w:rsid w:val="00081245"/>
    <w:rsid w:val="00140C4B"/>
    <w:rsid w:val="001B71D6"/>
    <w:rsid w:val="0039548C"/>
    <w:rsid w:val="00443490"/>
    <w:rsid w:val="005941F7"/>
    <w:rsid w:val="00625EF4"/>
    <w:rsid w:val="00641240"/>
    <w:rsid w:val="00871F15"/>
    <w:rsid w:val="009E1748"/>
    <w:rsid w:val="00B25994"/>
    <w:rsid w:val="00B82184"/>
    <w:rsid w:val="00BB0BF9"/>
    <w:rsid w:val="00CD5867"/>
    <w:rsid w:val="00E13D5C"/>
    <w:rsid w:val="00F05FAF"/>
    <w:rsid w:val="00F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EAFA"/>
  <w15:chartTrackingRefBased/>
  <w15:docId w15:val="{A0E69E66-3411-4261-A9F0-8AA2DDD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48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3D5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D5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D5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D5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E13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D5C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829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2015-12-10T21:18:00Z</dcterms:created>
  <dcterms:modified xsi:type="dcterms:W3CDTF">2024-04-09T08:34:00Z</dcterms:modified>
</cp:coreProperties>
</file>