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48"/>
        <w:gridCol w:w="6188"/>
        <w:gridCol w:w="2207"/>
        <w:gridCol w:w="6"/>
      </w:tblGrid>
      <w:tr w:rsidR="005649D0" w:rsidRPr="00C22356" w14:paraId="3DBC36F8" w14:textId="77777777" w:rsidTr="00B871E9">
        <w:trPr>
          <w:gridAfter w:val="1"/>
          <w:wAfter w:w="6" w:type="dxa"/>
          <w:trHeight w:val="386"/>
        </w:trPr>
        <w:tc>
          <w:tcPr>
            <w:tcW w:w="7792" w:type="dxa"/>
            <w:gridSpan w:val="2"/>
            <w:shd w:val="clear" w:color="auto" w:fill="92D050"/>
            <w:vAlign w:val="center"/>
          </w:tcPr>
          <w:p w14:paraId="0603A312" w14:textId="77777777" w:rsidR="005649D0" w:rsidRPr="005B0C54" w:rsidRDefault="005649D0" w:rsidP="00B871E9">
            <w:pPr>
              <w:pStyle w:val="Titre2"/>
              <w:spacing w:before="120"/>
              <w:jc w:val="center"/>
              <w:rPr>
                <w:sz w:val="28"/>
                <w:szCs w:val="22"/>
              </w:rPr>
            </w:pPr>
            <w:bookmarkStart w:id="0" w:name="_Hlk46181517"/>
            <w:r w:rsidRPr="005B0C54">
              <w:rPr>
                <w:sz w:val="28"/>
                <w:szCs w:val="22"/>
              </w:rPr>
              <w:t xml:space="preserve">Mission 01 </w:t>
            </w:r>
            <w:r>
              <w:rPr>
                <w:sz w:val="28"/>
                <w:szCs w:val="22"/>
              </w:rPr>
              <w:t>–</w:t>
            </w:r>
            <w:r w:rsidRPr="005B0C5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Optimiser les </w:t>
            </w:r>
            <w:r w:rsidRPr="005B0C54">
              <w:rPr>
                <w:sz w:val="28"/>
                <w:szCs w:val="22"/>
              </w:rPr>
              <w:t>commandes</w:t>
            </w:r>
          </w:p>
        </w:tc>
        <w:tc>
          <w:tcPr>
            <w:tcW w:w="2151" w:type="dxa"/>
            <w:shd w:val="clear" w:color="auto" w:fill="92D050"/>
            <w:vAlign w:val="center"/>
          </w:tcPr>
          <w:p w14:paraId="54939B5E" w14:textId="77777777" w:rsidR="005649D0" w:rsidRPr="00C22356" w:rsidRDefault="005649D0" w:rsidP="00B871E9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4B77557" wp14:editId="5D1D3C6E">
                  <wp:extent cx="1264285" cy="600075"/>
                  <wp:effectExtent l="0" t="0" r="0" b="0"/>
                  <wp:docPr id="5" name="Image 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9D0" w:rsidRPr="00C22356" w14:paraId="15474183" w14:textId="77777777" w:rsidTr="00B871E9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7895AF6B" w14:textId="4AA27484" w:rsidR="005649D0" w:rsidRPr="006C7177" w:rsidRDefault="005649D0" w:rsidP="00B871E9">
            <w:pPr>
              <w:jc w:val="left"/>
            </w:pPr>
            <w:r w:rsidRPr="006C7177">
              <w:t xml:space="preserve">Durée : </w:t>
            </w:r>
            <w:r w:rsidR="00D45F5E">
              <w:t>4</w:t>
            </w:r>
            <w:r>
              <w:t>0’</w:t>
            </w:r>
          </w:p>
        </w:tc>
        <w:tc>
          <w:tcPr>
            <w:tcW w:w="6237" w:type="dxa"/>
            <w:shd w:val="clear" w:color="auto" w:fill="92D050"/>
          </w:tcPr>
          <w:p w14:paraId="21778838" w14:textId="4D10F188" w:rsidR="005649D0" w:rsidRPr="006C7177" w:rsidRDefault="000818E0" w:rsidP="00B871E9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663F5320" wp14:editId="405D0EE3">
                  <wp:extent cx="361950" cy="361950"/>
                  <wp:effectExtent l="0" t="0" r="0" b="0"/>
                  <wp:docPr id="6467105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1058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2664D7B5" wp14:editId="4152676F">
                  <wp:extent cx="398780" cy="361950"/>
                  <wp:effectExtent l="0" t="0" r="0" b="0"/>
                  <wp:docPr id="17285713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71397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6001" b="3559"/>
                          <a:stretch/>
                        </pic:blipFill>
                        <pic:spPr bwMode="auto">
                          <a:xfrm>
                            <a:off x="0" y="0"/>
                            <a:ext cx="397510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  <w:gridSpan w:val="2"/>
            <w:shd w:val="clear" w:color="auto" w:fill="92D050"/>
            <w:vAlign w:val="center"/>
          </w:tcPr>
          <w:p w14:paraId="01B19900" w14:textId="77777777" w:rsidR="005649D0" w:rsidRPr="00A109F5" w:rsidRDefault="005649D0" w:rsidP="00B871E9">
            <w:pPr>
              <w:jc w:val="center"/>
              <w:rPr>
                <w:bCs/>
              </w:rPr>
            </w:pPr>
            <w:r w:rsidRPr="00A109F5">
              <w:rPr>
                <w:bCs/>
              </w:rPr>
              <w:t>| Source | Excel |</w:t>
            </w:r>
          </w:p>
        </w:tc>
      </w:tr>
    </w:tbl>
    <w:p w14:paraId="69A8EE05" w14:textId="77777777" w:rsidR="005649D0" w:rsidRPr="00A109F5" w:rsidRDefault="005649D0" w:rsidP="005649D0">
      <w:pPr>
        <w:spacing w:before="360" w:after="120"/>
        <w:rPr>
          <w:rFonts w:cs="Arial"/>
          <w:b/>
          <w:noProof/>
          <w:sz w:val="24"/>
          <w:szCs w:val="28"/>
        </w:rPr>
      </w:pPr>
      <w:r>
        <w:rPr>
          <w:rFonts w:cs="Arial"/>
          <w:b/>
          <w:noProof/>
          <w:color w:val="000000"/>
          <w:sz w:val="24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5EFFF58C" wp14:editId="1C7BEEBA">
            <wp:simplePos x="0" y="0"/>
            <wp:positionH relativeFrom="column">
              <wp:posOffset>5753100</wp:posOffset>
            </wp:positionH>
            <wp:positionV relativeFrom="paragraph">
              <wp:posOffset>111760</wp:posOffset>
            </wp:positionV>
            <wp:extent cx="577215" cy="1391285"/>
            <wp:effectExtent l="0" t="0" r="0" b="0"/>
            <wp:wrapSquare wrapText="bothSides"/>
            <wp:docPr id="6989" name="Image 6989" descr="Une image contenant bouteille, intérieur, table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" name="9C4CA64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9F5">
        <w:rPr>
          <w:rFonts w:cs="Arial"/>
          <w:b/>
          <w:noProof/>
          <w:sz w:val="24"/>
          <w:szCs w:val="28"/>
        </w:rPr>
        <w:t>Contexte professionnel</w:t>
      </w:r>
    </w:p>
    <w:p w14:paraId="10C025D6" w14:textId="61D40B77" w:rsidR="005649D0" w:rsidRDefault="005649D0" w:rsidP="005649D0">
      <w:pPr>
        <w:rPr>
          <w:rFonts w:cs="Arial"/>
        </w:rPr>
      </w:pPr>
      <w:r>
        <w:rPr>
          <w:rFonts w:cs="Arial"/>
        </w:rPr>
        <w:t xml:space="preserve">La société postule pour l’obtention </w:t>
      </w:r>
      <w:r w:rsidRPr="00201170">
        <w:rPr>
          <w:rFonts w:cs="Arial"/>
        </w:rPr>
        <w:t xml:space="preserve">du </w:t>
      </w:r>
      <w:r>
        <w:rPr>
          <w:rFonts w:cs="Arial"/>
        </w:rPr>
        <w:t>label « Excellence du goût » pour sa gamme de bières biologiques. Il entrainerait</w:t>
      </w:r>
      <w:r w:rsidRPr="00201170">
        <w:rPr>
          <w:rFonts w:cs="Arial"/>
        </w:rPr>
        <w:t xml:space="preserve">, selon les premières estimations, une augmentation des ventes de </w:t>
      </w:r>
      <w:r>
        <w:rPr>
          <w:rFonts w:cs="Arial"/>
        </w:rPr>
        <w:t>20</w:t>
      </w:r>
      <w:r w:rsidRPr="00201170">
        <w:rPr>
          <w:rFonts w:cs="Arial"/>
        </w:rPr>
        <w:t xml:space="preserve"> % sur les produits de la gamme </w:t>
      </w:r>
      <w:r>
        <w:rPr>
          <w:rFonts w:cs="Arial"/>
          <w:b/>
          <w:i/>
        </w:rPr>
        <w:t>Bière bio</w:t>
      </w:r>
      <w:r w:rsidRPr="00201170">
        <w:rPr>
          <w:rFonts w:cs="Arial"/>
        </w:rPr>
        <w:t xml:space="preserve"> (conditionnement </w:t>
      </w:r>
      <w:r>
        <w:rPr>
          <w:rFonts w:cs="Arial"/>
        </w:rPr>
        <w:t>en bouteille spéciale de verre de 33 cl</w:t>
      </w:r>
      <w:r w:rsidRPr="00201170">
        <w:rPr>
          <w:rFonts w:cs="Arial"/>
        </w:rPr>
        <w:t xml:space="preserve">). Il faudra en conséquence augmenter l’approvisionnement en </w:t>
      </w:r>
      <w:r>
        <w:rPr>
          <w:rFonts w:cs="Arial"/>
        </w:rPr>
        <w:t xml:space="preserve">bouteille </w:t>
      </w:r>
      <w:r w:rsidR="00CB660B">
        <w:rPr>
          <w:rFonts w:cs="Arial"/>
        </w:rPr>
        <w:t>en</w:t>
      </w:r>
      <w:r>
        <w:rPr>
          <w:rFonts w:cs="Arial"/>
        </w:rPr>
        <w:t xml:space="preserve"> verre</w:t>
      </w:r>
      <w:r w:rsidRPr="00201170">
        <w:rPr>
          <w:rFonts w:cs="Arial"/>
        </w:rPr>
        <w:t xml:space="preserve"> de cette gamme et éventuellement modifier le nombre de commandes et le calendrier d’approvisionnement.</w:t>
      </w:r>
    </w:p>
    <w:p w14:paraId="36784B6C" w14:textId="77777777" w:rsidR="005649D0" w:rsidRPr="00A109F5" w:rsidRDefault="005649D0" w:rsidP="005649D0">
      <w:pPr>
        <w:widowControl w:val="0"/>
        <w:autoSpaceDE w:val="0"/>
        <w:autoSpaceDN w:val="0"/>
        <w:adjustRightInd w:val="0"/>
        <w:spacing w:before="240"/>
        <w:jc w:val="left"/>
        <w:rPr>
          <w:rFonts w:cs="Arial"/>
          <w:b/>
          <w:color w:val="000000"/>
          <w:sz w:val="24"/>
          <w:szCs w:val="28"/>
          <w:lang w:eastAsia="fr-FR"/>
        </w:rPr>
      </w:pPr>
      <w:r w:rsidRPr="00A109F5">
        <w:rPr>
          <w:rFonts w:cs="Arial"/>
          <w:b/>
          <w:color w:val="000000"/>
          <w:sz w:val="24"/>
          <w:szCs w:val="28"/>
          <w:lang w:eastAsia="fr-FR"/>
        </w:rPr>
        <w:t>Travail à faire</w:t>
      </w:r>
    </w:p>
    <w:p w14:paraId="3FF24F6B" w14:textId="77777777" w:rsidR="005649D0" w:rsidRDefault="005649D0" w:rsidP="005649D0">
      <w:pPr>
        <w:widowControl w:val="0"/>
        <w:autoSpaceDE w:val="0"/>
        <w:autoSpaceDN w:val="0"/>
        <w:adjustRightInd w:val="0"/>
        <w:spacing w:before="120" w:after="12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Ouvrez le fichier source Excel puis réalisez les travaux suivants :</w:t>
      </w:r>
    </w:p>
    <w:p w14:paraId="4DDD85E6" w14:textId="77777777" w:rsidR="005649D0" w:rsidRPr="00A109F5" w:rsidRDefault="005649D0" w:rsidP="005649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 w:rsidRPr="00A109F5">
        <w:rPr>
          <w:rFonts w:cs="Arial"/>
          <w:bCs/>
          <w:color w:val="000000"/>
          <w:lang w:eastAsia="fr-FR"/>
        </w:rPr>
        <w:t>Détermine</w:t>
      </w:r>
      <w:r>
        <w:rPr>
          <w:rFonts w:cs="Arial"/>
          <w:bCs/>
          <w:color w:val="000000"/>
          <w:lang w:eastAsia="fr-FR"/>
        </w:rPr>
        <w:t>z</w:t>
      </w:r>
      <w:r w:rsidRPr="00A109F5">
        <w:rPr>
          <w:rFonts w:cs="Arial"/>
          <w:bCs/>
          <w:color w:val="000000"/>
          <w:lang w:eastAsia="fr-FR"/>
        </w:rPr>
        <w:t xml:space="preserve"> le nombre optimal de commandes de </w:t>
      </w:r>
      <w:r>
        <w:rPr>
          <w:rFonts w:cs="Arial"/>
          <w:bCs/>
          <w:color w:val="000000"/>
          <w:lang w:eastAsia="fr-FR"/>
        </w:rPr>
        <w:t>bouteilles</w:t>
      </w:r>
      <w:r w:rsidRPr="00A109F5">
        <w:rPr>
          <w:rFonts w:cs="Arial"/>
          <w:bCs/>
          <w:color w:val="000000"/>
          <w:lang w:eastAsia="fr-FR"/>
        </w:rPr>
        <w:t xml:space="preserve"> pour l’année </w:t>
      </w:r>
      <w:r>
        <w:rPr>
          <w:rFonts w:cs="Arial"/>
          <w:bCs/>
          <w:color w:val="000000"/>
          <w:lang w:eastAsia="fr-FR"/>
        </w:rPr>
        <w:t>N+1.</w:t>
      </w:r>
      <w:r w:rsidRPr="00A109F5">
        <w:rPr>
          <w:rFonts w:cs="Arial"/>
          <w:bCs/>
          <w:color w:val="000000"/>
          <w:lang w:eastAsia="fr-FR"/>
        </w:rPr>
        <w:t xml:space="preserve"> </w:t>
      </w:r>
    </w:p>
    <w:p w14:paraId="4666B414" w14:textId="77777777" w:rsidR="005649D0" w:rsidRPr="00A109F5" w:rsidRDefault="005649D0" w:rsidP="005649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É</w:t>
      </w:r>
      <w:r w:rsidRPr="00A109F5">
        <w:rPr>
          <w:rFonts w:cs="Arial"/>
          <w:bCs/>
          <w:color w:val="000000"/>
          <w:lang w:eastAsia="fr-FR"/>
        </w:rPr>
        <w:t>tabli</w:t>
      </w:r>
      <w:r>
        <w:rPr>
          <w:rFonts w:cs="Arial"/>
          <w:bCs/>
          <w:color w:val="000000"/>
          <w:lang w:eastAsia="fr-FR"/>
        </w:rPr>
        <w:t>ssez</w:t>
      </w:r>
      <w:r w:rsidRPr="00A109F5">
        <w:rPr>
          <w:rFonts w:cs="Arial"/>
          <w:bCs/>
          <w:color w:val="000000"/>
          <w:lang w:eastAsia="fr-FR"/>
        </w:rPr>
        <w:t xml:space="preserve"> le calendrier d’approvisionnement pour l’année </w:t>
      </w:r>
      <w:r>
        <w:rPr>
          <w:rFonts w:cs="Arial"/>
          <w:bCs/>
          <w:color w:val="000000"/>
          <w:lang w:eastAsia="fr-FR"/>
        </w:rPr>
        <w:t>N+1.</w:t>
      </w:r>
    </w:p>
    <w:p w14:paraId="6D172FD7" w14:textId="77777777" w:rsidR="005649D0" w:rsidRDefault="005649D0" w:rsidP="005649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 w:rsidRPr="00A109F5">
        <w:rPr>
          <w:rFonts w:cs="Arial"/>
          <w:bCs/>
          <w:color w:val="000000"/>
          <w:lang w:eastAsia="fr-FR"/>
        </w:rPr>
        <w:t>Réalise</w:t>
      </w:r>
      <w:r>
        <w:rPr>
          <w:rFonts w:cs="Arial"/>
          <w:bCs/>
          <w:color w:val="000000"/>
          <w:lang w:eastAsia="fr-FR"/>
        </w:rPr>
        <w:t>z</w:t>
      </w:r>
      <w:r w:rsidRPr="00A109F5">
        <w:rPr>
          <w:rFonts w:cs="Arial"/>
          <w:bCs/>
          <w:color w:val="000000"/>
          <w:lang w:eastAsia="fr-FR"/>
        </w:rPr>
        <w:t xml:space="preserve"> le budget prévisionnel des approvisionnements</w:t>
      </w:r>
      <w:r>
        <w:rPr>
          <w:rFonts w:cs="Arial"/>
          <w:bCs/>
          <w:color w:val="000000"/>
          <w:lang w:eastAsia="fr-FR"/>
        </w:rPr>
        <w:t>.</w:t>
      </w:r>
    </w:p>
    <w:p w14:paraId="2D933D5F" w14:textId="77777777" w:rsidR="005649D0" w:rsidRPr="00A109F5" w:rsidRDefault="005649D0" w:rsidP="005649D0">
      <w:pPr>
        <w:widowControl w:val="0"/>
        <w:autoSpaceDE w:val="0"/>
        <w:autoSpaceDN w:val="0"/>
        <w:adjustRightInd w:val="0"/>
        <w:ind w:left="360"/>
        <w:jc w:val="left"/>
        <w:rPr>
          <w:rFonts w:cs="Arial"/>
          <w:bCs/>
          <w:color w:val="000000"/>
          <w:lang w:eastAsia="fr-FR"/>
        </w:rPr>
      </w:pPr>
    </w:p>
    <w:p w14:paraId="04A63F81" w14:textId="205949EC" w:rsidR="005649D0" w:rsidRPr="001601B0" w:rsidRDefault="005649D0" w:rsidP="005649D0">
      <w:pPr>
        <w:spacing w:before="240"/>
        <w:rPr>
          <w:b/>
          <w:sz w:val="24"/>
        </w:rPr>
      </w:pPr>
      <w:r w:rsidRPr="001601B0">
        <w:rPr>
          <w:b/>
          <w:color w:val="FFFFFF" w:themeColor="background1"/>
          <w:sz w:val="24"/>
          <w:highlight w:val="red"/>
        </w:rPr>
        <w:t>Doc. 1 </w:t>
      </w:r>
      <w:r w:rsidRPr="001601B0">
        <w:rPr>
          <w:b/>
          <w:color w:val="FFFFFF" w:themeColor="background1"/>
          <w:sz w:val="24"/>
        </w:rPr>
        <w:t xml:space="preserve"> </w:t>
      </w:r>
      <w:r w:rsidR="00CB660B">
        <w:rPr>
          <w:b/>
          <w:sz w:val="24"/>
        </w:rPr>
        <w:t>Données</w:t>
      </w:r>
      <w:r>
        <w:rPr>
          <w:b/>
          <w:sz w:val="24"/>
        </w:rPr>
        <w:t xml:space="preserve"> </w:t>
      </w:r>
      <w:r w:rsidRPr="001601B0">
        <w:rPr>
          <w:b/>
          <w:sz w:val="24"/>
        </w:rPr>
        <w:t>année N</w:t>
      </w:r>
    </w:p>
    <w:p w14:paraId="78DEF11B" w14:textId="7ED0C7A5" w:rsidR="005649D0" w:rsidRPr="00453A4F" w:rsidRDefault="005649D0" w:rsidP="005649D0">
      <w:pPr>
        <w:spacing w:before="360" w:after="120"/>
        <w:jc w:val="center"/>
        <w:rPr>
          <w:b/>
        </w:rPr>
      </w:pPr>
      <w:r w:rsidRPr="00453A4F">
        <w:rPr>
          <w:b/>
        </w:rPr>
        <w:t xml:space="preserve">Consommation de </w:t>
      </w:r>
      <w:r>
        <w:rPr>
          <w:b/>
        </w:rPr>
        <w:t>bouteilles</w:t>
      </w:r>
      <w:r w:rsidRPr="00453A4F">
        <w:rPr>
          <w:b/>
        </w:rPr>
        <w:t xml:space="preserve"> pour la gamme</w:t>
      </w:r>
      <w:r>
        <w:rPr>
          <w:b/>
        </w:rPr>
        <w:t> : bière bio N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95"/>
        <w:gridCol w:w="795"/>
        <w:gridCol w:w="787"/>
        <w:gridCol w:w="787"/>
        <w:gridCol w:w="795"/>
        <w:gridCol w:w="787"/>
        <w:gridCol w:w="787"/>
        <w:gridCol w:w="788"/>
        <w:gridCol w:w="919"/>
        <w:gridCol w:w="1088"/>
        <w:gridCol w:w="1024"/>
      </w:tblGrid>
      <w:tr w:rsidR="005649D0" w:rsidRPr="008F70CD" w14:paraId="50CBAF02" w14:textId="77777777" w:rsidTr="00B871E9">
        <w:trPr>
          <w:trHeight w:val="283"/>
          <w:jc w:val="center"/>
        </w:trPr>
        <w:tc>
          <w:tcPr>
            <w:tcW w:w="795" w:type="dxa"/>
            <w:vAlign w:val="center"/>
          </w:tcPr>
          <w:p w14:paraId="1BD49052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Janv</w:t>
            </w:r>
            <w:r>
              <w:rPr>
                <w:rFonts w:cs="Arial"/>
                <w:b/>
                <w:sz w:val="16"/>
                <w:szCs w:val="20"/>
              </w:rPr>
              <w:t>ier</w:t>
            </w:r>
          </w:p>
        </w:tc>
        <w:tc>
          <w:tcPr>
            <w:tcW w:w="795" w:type="dxa"/>
            <w:vAlign w:val="center"/>
          </w:tcPr>
          <w:p w14:paraId="44B168D7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Fév</w:t>
            </w:r>
            <w:r>
              <w:rPr>
                <w:rFonts w:cs="Arial"/>
                <w:b/>
                <w:sz w:val="16"/>
                <w:szCs w:val="20"/>
              </w:rPr>
              <w:t>rier</w:t>
            </w:r>
          </w:p>
        </w:tc>
        <w:tc>
          <w:tcPr>
            <w:tcW w:w="795" w:type="dxa"/>
            <w:vAlign w:val="center"/>
          </w:tcPr>
          <w:p w14:paraId="650FCBC8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Mars</w:t>
            </w:r>
          </w:p>
        </w:tc>
        <w:tc>
          <w:tcPr>
            <w:tcW w:w="787" w:type="dxa"/>
            <w:vAlign w:val="center"/>
          </w:tcPr>
          <w:p w14:paraId="2A09A308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Avril</w:t>
            </w:r>
          </w:p>
        </w:tc>
        <w:tc>
          <w:tcPr>
            <w:tcW w:w="787" w:type="dxa"/>
            <w:vAlign w:val="center"/>
          </w:tcPr>
          <w:p w14:paraId="4EC0288C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Mai</w:t>
            </w:r>
          </w:p>
        </w:tc>
        <w:tc>
          <w:tcPr>
            <w:tcW w:w="795" w:type="dxa"/>
            <w:vAlign w:val="center"/>
          </w:tcPr>
          <w:p w14:paraId="3CE05701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Juin</w:t>
            </w:r>
          </w:p>
        </w:tc>
        <w:tc>
          <w:tcPr>
            <w:tcW w:w="787" w:type="dxa"/>
            <w:vAlign w:val="center"/>
          </w:tcPr>
          <w:p w14:paraId="05769A88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Juil</w:t>
            </w:r>
            <w:r>
              <w:rPr>
                <w:rFonts w:cs="Arial"/>
                <w:b/>
                <w:sz w:val="16"/>
                <w:szCs w:val="20"/>
              </w:rPr>
              <w:t>let</w:t>
            </w:r>
          </w:p>
        </w:tc>
        <w:tc>
          <w:tcPr>
            <w:tcW w:w="787" w:type="dxa"/>
            <w:vAlign w:val="center"/>
          </w:tcPr>
          <w:p w14:paraId="32130CBA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Août</w:t>
            </w:r>
          </w:p>
        </w:tc>
        <w:tc>
          <w:tcPr>
            <w:tcW w:w="788" w:type="dxa"/>
            <w:vAlign w:val="center"/>
          </w:tcPr>
          <w:p w14:paraId="1FDC13B0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Sept</w:t>
            </w:r>
          </w:p>
        </w:tc>
        <w:tc>
          <w:tcPr>
            <w:tcW w:w="919" w:type="dxa"/>
            <w:vAlign w:val="center"/>
          </w:tcPr>
          <w:p w14:paraId="58EC11CA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Oct</w:t>
            </w:r>
            <w:r>
              <w:rPr>
                <w:rFonts w:cs="Arial"/>
                <w:b/>
                <w:sz w:val="16"/>
                <w:szCs w:val="20"/>
              </w:rPr>
              <w:t>obre</w:t>
            </w:r>
          </w:p>
        </w:tc>
        <w:tc>
          <w:tcPr>
            <w:tcW w:w="1088" w:type="dxa"/>
            <w:vAlign w:val="center"/>
          </w:tcPr>
          <w:p w14:paraId="73735DD4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Nov</w:t>
            </w:r>
            <w:r>
              <w:rPr>
                <w:rFonts w:cs="Arial"/>
                <w:b/>
                <w:sz w:val="16"/>
                <w:szCs w:val="20"/>
              </w:rPr>
              <w:t>embre</w:t>
            </w:r>
          </w:p>
        </w:tc>
        <w:tc>
          <w:tcPr>
            <w:tcW w:w="1024" w:type="dxa"/>
            <w:vAlign w:val="center"/>
          </w:tcPr>
          <w:p w14:paraId="2BE379FD" w14:textId="77777777" w:rsidR="005649D0" w:rsidRPr="008F70CD" w:rsidRDefault="005649D0" w:rsidP="00B871E9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8F70CD">
              <w:rPr>
                <w:rFonts w:cs="Arial"/>
                <w:b/>
                <w:sz w:val="16"/>
                <w:szCs w:val="20"/>
              </w:rPr>
              <w:t>Déc</w:t>
            </w:r>
            <w:r>
              <w:rPr>
                <w:rFonts w:cs="Arial"/>
                <w:b/>
                <w:sz w:val="16"/>
                <w:szCs w:val="20"/>
              </w:rPr>
              <w:t>embre</w:t>
            </w:r>
          </w:p>
        </w:tc>
      </w:tr>
      <w:tr w:rsidR="005649D0" w:rsidRPr="008F70CD" w14:paraId="1EC4074C" w14:textId="77777777" w:rsidTr="00B871E9">
        <w:trPr>
          <w:trHeight w:val="283"/>
          <w:jc w:val="center"/>
        </w:trPr>
        <w:tc>
          <w:tcPr>
            <w:tcW w:w="795" w:type="dxa"/>
            <w:vAlign w:val="center"/>
          </w:tcPr>
          <w:p w14:paraId="3105C03C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12 500</w:t>
            </w:r>
          </w:p>
        </w:tc>
        <w:tc>
          <w:tcPr>
            <w:tcW w:w="795" w:type="dxa"/>
            <w:vAlign w:val="center"/>
          </w:tcPr>
          <w:p w14:paraId="44AC95D6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13 700</w:t>
            </w:r>
          </w:p>
        </w:tc>
        <w:tc>
          <w:tcPr>
            <w:tcW w:w="795" w:type="dxa"/>
            <w:vAlign w:val="center"/>
          </w:tcPr>
          <w:p w14:paraId="2BFD1CFE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11 100</w:t>
            </w:r>
          </w:p>
        </w:tc>
        <w:tc>
          <w:tcPr>
            <w:tcW w:w="787" w:type="dxa"/>
            <w:vAlign w:val="center"/>
          </w:tcPr>
          <w:p w14:paraId="284E057B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10 700</w:t>
            </w:r>
          </w:p>
        </w:tc>
        <w:tc>
          <w:tcPr>
            <w:tcW w:w="787" w:type="dxa"/>
            <w:vAlign w:val="center"/>
          </w:tcPr>
          <w:p w14:paraId="543504EB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13 800</w:t>
            </w:r>
          </w:p>
        </w:tc>
        <w:tc>
          <w:tcPr>
            <w:tcW w:w="795" w:type="dxa"/>
            <w:vAlign w:val="center"/>
          </w:tcPr>
          <w:p w14:paraId="110A7EEB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17 200</w:t>
            </w:r>
          </w:p>
        </w:tc>
        <w:tc>
          <w:tcPr>
            <w:tcW w:w="787" w:type="dxa"/>
            <w:vAlign w:val="center"/>
          </w:tcPr>
          <w:p w14:paraId="5AB3C527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22 400</w:t>
            </w:r>
          </w:p>
        </w:tc>
        <w:tc>
          <w:tcPr>
            <w:tcW w:w="787" w:type="dxa"/>
            <w:vAlign w:val="center"/>
          </w:tcPr>
          <w:p w14:paraId="3D9F4375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28 900</w:t>
            </w:r>
          </w:p>
        </w:tc>
        <w:tc>
          <w:tcPr>
            <w:tcW w:w="788" w:type="dxa"/>
            <w:vAlign w:val="center"/>
          </w:tcPr>
          <w:p w14:paraId="21EBB4A0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22 900</w:t>
            </w:r>
          </w:p>
        </w:tc>
        <w:tc>
          <w:tcPr>
            <w:tcW w:w="919" w:type="dxa"/>
            <w:vAlign w:val="center"/>
          </w:tcPr>
          <w:p w14:paraId="6A7D1EC9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18 200</w:t>
            </w:r>
          </w:p>
        </w:tc>
        <w:tc>
          <w:tcPr>
            <w:tcW w:w="1088" w:type="dxa"/>
            <w:vAlign w:val="center"/>
          </w:tcPr>
          <w:p w14:paraId="5D12FBDB" w14:textId="77777777" w:rsidR="005649D0" w:rsidRPr="008F70CD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12 200</w:t>
            </w:r>
          </w:p>
        </w:tc>
        <w:tc>
          <w:tcPr>
            <w:tcW w:w="1024" w:type="dxa"/>
            <w:vAlign w:val="center"/>
          </w:tcPr>
          <w:p w14:paraId="3C54DD8C" w14:textId="77777777" w:rsidR="005649D0" w:rsidRPr="00C00593" w:rsidRDefault="005649D0" w:rsidP="00B871E9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C00593">
              <w:rPr>
                <w:rFonts w:cs="Arial"/>
                <w:b/>
                <w:bCs/>
                <w:sz w:val="18"/>
                <w:szCs w:val="18"/>
              </w:rPr>
              <w:t>16 800</w:t>
            </w:r>
          </w:p>
        </w:tc>
      </w:tr>
    </w:tbl>
    <w:p w14:paraId="6158B45E" w14:textId="77777777" w:rsidR="005649D0" w:rsidRPr="001601B0" w:rsidRDefault="005649D0" w:rsidP="005649D0">
      <w:pPr>
        <w:spacing w:before="120"/>
        <w:rPr>
          <w:rFonts w:cs="Arial"/>
        </w:rPr>
      </w:pPr>
      <w:r w:rsidRPr="001601B0">
        <w:rPr>
          <w:rFonts w:cs="Arial"/>
        </w:rPr>
        <w:t>Le prix unitaire HT d’une bouteille : 0,</w:t>
      </w:r>
      <w:r>
        <w:rPr>
          <w:rFonts w:cs="Arial"/>
        </w:rPr>
        <w:t>4</w:t>
      </w:r>
      <w:r w:rsidRPr="001601B0">
        <w:rPr>
          <w:rFonts w:cs="Arial"/>
        </w:rPr>
        <w:t xml:space="preserve">0 € HT en N. </w:t>
      </w:r>
    </w:p>
    <w:p w14:paraId="230C581C" w14:textId="77777777" w:rsidR="005649D0" w:rsidRDefault="005649D0" w:rsidP="005649D0">
      <w:pPr>
        <w:spacing w:before="240"/>
        <w:jc w:val="center"/>
        <w:rPr>
          <w:b/>
          <w:sz w:val="24"/>
        </w:rPr>
      </w:pPr>
    </w:p>
    <w:p w14:paraId="2B9CFB78" w14:textId="49584A35" w:rsidR="005649D0" w:rsidRDefault="005649D0" w:rsidP="005649D0">
      <w:pPr>
        <w:spacing w:before="240"/>
        <w:rPr>
          <w:b/>
          <w:sz w:val="24"/>
        </w:rPr>
      </w:pPr>
      <w:r w:rsidRPr="00AB036D">
        <w:rPr>
          <w:b/>
          <w:color w:val="FFFFFF" w:themeColor="background1"/>
          <w:sz w:val="24"/>
          <w:highlight w:val="red"/>
        </w:rPr>
        <w:t xml:space="preserve">Doc. </w:t>
      </w:r>
      <w:r w:rsidR="00CB660B">
        <w:rPr>
          <w:b/>
          <w:color w:val="FFFFFF" w:themeColor="background1"/>
          <w:sz w:val="24"/>
          <w:highlight w:val="red"/>
        </w:rPr>
        <w:t>2</w:t>
      </w:r>
      <w:r w:rsidRPr="00AB036D">
        <w:rPr>
          <w:b/>
          <w:color w:val="FFFFFF" w:themeColor="background1"/>
          <w:sz w:val="24"/>
          <w:highlight w:val="red"/>
        </w:rPr>
        <w:t> </w:t>
      </w:r>
      <w:r w:rsidRPr="00AB036D">
        <w:rPr>
          <w:b/>
          <w:color w:val="FFFFFF" w:themeColor="background1"/>
          <w:sz w:val="24"/>
        </w:rPr>
        <w:t xml:space="preserve"> </w:t>
      </w:r>
      <w:r w:rsidRPr="008F70CD">
        <w:rPr>
          <w:b/>
          <w:sz w:val="24"/>
        </w:rPr>
        <w:t xml:space="preserve">Prévisions pour l’année </w:t>
      </w:r>
      <w:r>
        <w:rPr>
          <w:b/>
          <w:sz w:val="24"/>
        </w:rPr>
        <w:t>N+1</w:t>
      </w:r>
    </w:p>
    <w:p w14:paraId="40680781" w14:textId="77777777" w:rsidR="005649D0" w:rsidRPr="002B3CA5" w:rsidRDefault="005649D0" w:rsidP="005649D0">
      <w:pPr>
        <w:spacing w:before="240" w:after="120"/>
        <w:rPr>
          <w:rFonts w:cs="Arial"/>
          <w:b/>
          <w:i/>
          <w:szCs w:val="20"/>
        </w:rPr>
      </w:pPr>
      <w:r w:rsidRPr="002B3CA5">
        <w:rPr>
          <w:rFonts w:cs="Arial"/>
          <w:b/>
          <w:i/>
          <w:szCs w:val="20"/>
        </w:rPr>
        <w:t xml:space="preserve">Consommation annuelle en euros </w:t>
      </w:r>
    </w:p>
    <w:p w14:paraId="71F4C2B1" w14:textId="77777777" w:rsidR="005649D0" w:rsidRPr="002B3CA5" w:rsidRDefault="005649D0" w:rsidP="005649D0">
      <w:pPr>
        <w:rPr>
          <w:rFonts w:cs="Arial"/>
          <w:i/>
          <w:szCs w:val="20"/>
        </w:rPr>
      </w:pPr>
      <w:r w:rsidRPr="002B3CA5">
        <w:rPr>
          <w:rFonts w:cs="Arial"/>
          <w:szCs w:val="20"/>
        </w:rPr>
        <w:t xml:space="preserve">En </w:t>
      </w:r>
      <w:r>
        <w:rPr>
          <w:rFonts w:cs="Arial"/>
          <w:szCs w:val="20"/>
        </w:rPr>
        <w:t>N+1</w:t>
      </w:r>
      <w:r w:rsidRPr="002B3CA5">
        <w:rPr>
          <w:rFonts w:cs="Arial"/>
          <w:szCs w:val="20"/>
        </w:rPr>
        <w:t xml:space="preserve">, il convient de prévoir une augmentation de la consommation de </w:t>
      </w:r>
      <w:r>
        <w:rPr>
          <w:rFonts w:cs="Arial"/>
          <w:szCs w:val="20"/>
        </w:rPr>
        <w:t>bouteilles</w:t>
      </w:r>
      <w:r w:rsidRPr="002B3CA5">
        <w:rPr>
          <w:rFonts w:cs="Arial"/>
          <w:szCs w:val="20"/>
        </w:rPr>
        <w:t xml:space="preserve"> de </w:t>
      </w:r>
      <w:r>
        <w:rPr>
          <w:rFonts w:cs="Arial"/>
          <w:szCs w:val="20"/>
        </w:rPr>
        <w:t>20</w:t>
      </w:r>
      <w:r w:rsidRPr="002B3CA5">
        <w:rPr>
          <w:rFonts w:cs="Arial"/>
          <w:szCs w:val="20"/>
        </w:rPr>
        <w:t xml:space="preserve"> % en volume (sans augmentation de prix) et avec une répartition sur l’année identique à celle de </w:t>
      </w:r>
      <w:r>
        <w:rPr>
          <w:rFonts w:cs="Arial"/>
          <w:szCs w:val="20"/>
        </w:rPr>
        <w:t>l’année N</w:t>
      </w:r>
      <w:r w:rsidRPr="002B3CA5">
        <w:rPr>
          <w:rFonts w:cs="Arial"/>
          <w:szCs w:val="20"/>
        </w:rPr>
        <w:t>.</w:t>
      </w:r>
    </w:p>
    <w:p w14:paraId="55DDF08B" w14:textId="77777777" w:rsidR="005649D0" w:rsidRPr="001B2DC2" w:rsidRDefault="005649D0" w:rsidP="005649D0">
      <w:pPr>
        <w:pStyle w:val="Paragraphedeliste"/>
        <w:numPr>
          <w:ilvl w:val="0"/>
          <w:numId w:val="3"/>
        </w:numPr>
        <w:spacing w:before="120" w:after="120"/>
        <w:rPr>
          <w:rFonts w:cs="Arial"/>
          <w:szCs w:val="20"/>
        </w:rPr>
      </w:pPr>
      <w:r w:rsidRPr="002B3CA5">
        <w:rPr>
          <w:rFonts w:cs="Arial"/>
          <w:b/>
          <w:i/>
          <w:iCs/>
          <w:szCs w:val="20"/>
        </w:rPr>
        <w:t>Taux de détention (ou possession) du stock</w:t>
      </w:r>
      <w:r w:rsidRPr="002B3CA5">
        <w:rPr>
          <w:rFonts w:cs="Arial"/>
          <w:i/>
          <w:iCs/>
          <w:szCs w:val="20"/>
        </w:rPr>
        <w:t xml:space="preserve"> </w:t>
      </w:r>
      <w:r w:rsidRPr="002B3CA5">
        <w:rPr>
          <w:rFonts w:cs="Arial"/>
          <w:szCs w:val="20"/>
        </w:rPr>
        <w:t>= 1</w:t>
      </w:r>
      <w:r>
        <w:rPr>
          <w:rFonts w:cs="Arial"/>
          <w:szCs w:val="20"/>
        </w:rPr>
        <w:t>2</w:t>
      </w:r>
      <w:r w:rsidRPr="001B2DC2">
        <w:rPr>
          <w:rFonts w:cs="Arial"/>
          <w:szCs w:val="20"/>
        </w:rPr>
        <w:t xml:space="preserve"> % </w:t>
      </w:r>
    </w:p>
    <w:p w14:paraId="3E61E23B" w14:textId="77777777" w:rsidR="005649D0" w:rsidRPr="002B3CA5" w:rsidRDefault="005649D0" w:rsidP="005649D0">
      <w:pPr>
        <w:pStyle w:val="Paragraphedeliste"/>
        <w:numPr>
          <w:ilvl w:val="0"/>
          <w:numId w:val="3"/>
        </w:numPr>
        <w:spacing w:before="120" w:after="120"/>
        <w:rPr>
          <w:rFonts w:cs="Arial"/>
          <w:szCs w:val="20"/>
        </w:rPr>
      </w:pPr>
      <w:r w:rsidRPr="002B3CA5">
        <w:rPr>
          <w:rFonts w:cs="Arial"/>
          <w:b/>
          <w:i/>
          <w:iCs/>
          <w:szCs w:val="20"/>
        </w:rPr>
        <w:t>Coût de lancement (ou passation) d’une commande</w:t>
      </w:r>
      <w:r w:rsidRPr="002B3CA5">
        <w:rPr>
          <w:rFonts w:cs="Arial"/>
          <w:i/>
          <w:iCs/>
          <w:szCs w:val="20"/>
        </w:rPr>
        <w:t xml:space="preserve"> </w:t>
      </w:r>
      <w:r w:rsidRPr="002B3CA5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>15</w:t>
      </w:r>
      <w:r w:rsidRPr="002B3CA5">
        <w:rPr>
          <w:rFonts w:cs="Arial"/>
          <w:szCs w:val="20"/>
        </w:rPr>
        <w:t xml:space="preserve">0 € </w:t>
      </w:r>
    </w:p>
    <w:p w14:paraId="4C30D430" w14:textId="77777777" w:rsidR="005649D0" w:rsidRPr="002B3CA5" w:rsidRDefault="005649D0" w:rsidP="005649D0">
      <w:pPr>
        <w:pStyle w:val="Paragraphedeliste"/>
        <w:numPr>
          <w:ilvl w:val="0"/>
          <w:numId w:val="3"/>
        </w:numPr>
        <w:tabs>
          <w:tab w:val="left" w:pos="7200"/>
        </w:tabs>
        <w:spacing w:before="120"/>
        <w:rPr>
          <w:rFonts w:cs="Arial"/>
          <w:szCs w:val="20"/>
        </w:rPr>
      </w:pPr>
      <w:r w:rsidRPr="002B3CA5">
        <w:rPr>
          <w:rFonts w:cs="Arial"/>
          <w:b/>
          <w:i/>
          <w:iCs/>
          <w:szCs w:val="20"/>
        </w:rPr>
        <w:t>Optimum de commande (N*)</w:t>
      </w:r>
      <w:r w:rsidRPr="002B3CA5">
        <w:rPr>
          <w:rFonts w:cs="Arial"/>
          <w:i/>
          <w:iCs/>
          <w:szCs w:val="20"/>
        </w:rPr>
        <w:t> </w:t>
      </w:r>
      <w:r w:rsidRPr="002B3CA5">
        <w:rPr>
          <w:rFonts w:cs="Arial"/>
          <w:szCs w:val="20"/>
        </w:rPr>
        <w:t xml:space="preserve">: à déterminer  </w:t>
      </w:r>
    </w:p>
    <w:p w14:paraId="08491EB7" w14:textId="77777777" w:rsidR="005649D0" w:rsidRPr="002B3CA5" w:rsidRDefault="005649D0" w:rsidP="005649D0">
      <w:pPr>
        <w:pStyle w:val="Paragraphedeliste"/>
        <w:numPr>
          <w:ilvl w:val="0"/>
          <w:numId w:val="3"/>
        </w:numPr>
        <w:tabs>
          <w:tab w:val="left" w:pos="7200"/>
        </w:tabs>
        <w:spacing w:before="120" w:after="120"/>
        <w:rPr>
          <w:rFonts w:cs="Arial"/>
          <w:szCs w:val="20"/>
        </w:rPr>
      </w:pPr>
      <w:r w:rsidRPr="002B3CA5">
        <w:rPr>
          <w:rFonts w:cs="Arial"/>
          <w:szCs w:val="20"/>
        </w:rPr>
        <w:t xml:space="preserve">Formule de Wilson N*  = 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Cs w:val="20"/>
                  </w:rPr>
                  <m:t>C*t%</m:t>
                </m:r>
              </m:num>
              <m:den>
                <m:r>
                  <w:rPr>
                    <w:rFonts w:ascii="Cambria Math" w:hAnsi="Cambria Math" w:cs="Arial"/>
                    <w:szCs w:val="20"/>
                  </w:rPr>
                  <m:t>2*cl</m:t>
                </m:r>
              </m:den>
            </m:f>
          </m:e>
        </m:rad>
      </m:oMath>
      <w:r w:rsidRPr="002B3CA5">
        <w:rPr>
          <w:rFonts w:cs="Arial"/>
          <w:szCs w:val="20"/>
        </w:rPr>
        <w:t xml:space="preserve">  </w:t>
      </w:r>
    </w:p>
    <w:p w14:paraId="782C0DD2" w14:textId="77777777" w:rsidR="005649D0" w:rsidRPr="002B3CA5" w:rsidRDefault="005649D0" w:rsidP="005649D0">
      <w:pPr>
        <w:pStyle w:val="Paragraphedeliste"/>
        <w:numPr>
          <w:ilvl w:val="0"/>
          <w:numId w:val="3"/>
        </w:numPr>
        <w:spacing w:before="120" w:after="120"/>
        <w:rPr>
          <w:rFonts w:cs="Arial"/>
          <w:szCs w:val="20"/>
        </w:rPr>
      </w:pPr>
      <w:r w:rsidRPr="002B3CA5">
        <w:rPr>
          <w:rFonts w:cs="Arial"/>
          <w:b/>
          <w:i/>
          <w:iCs/>
          <w:szCs w:val="20"/>
        </w:rPr>
        <w:t>Stock de sécurité</w:t>
      </w:r>
      <w:r w:rsidRPr="002B3CA5">
        <w:rPr>
          <w:rFonts w:cs="Arial"/>
          <w:szCs w:val="20"/>
        </w:rPr>
        <w:t xml:space="preserve"> : 500 </w:t>
      </w:r>
      <w:r>
        <w:rPr>
          <w:rFonts w:cs="Arial"/>
          <w:szCs w:val="20"/>
        </w:rPr>
        <w:t>bouteilles</w:t>
      </w:r>
    </w:p>
    <w:p w14:paraId="4D1B2C19" w14:textId="77777777" w:rsidR="005649D0" w:rsidRPr="002B3CA5" w:rsidRDefault="005649D0" w:rsidP="005649D0">
      <w:pPr>
        <w:pStyle w:val="Paragraphedeliste"/>
        <w:numPr>
          <w:ilvl w:val="0"/>
          <w:numId w:val="3"/>
        </w:numPr>
        <w:spacing w:before="120" w:after="120"/>
        <w:rPr>
          <w:rFonts w:cs="Arial"/>
          <w:szCs w:val="20"/>
        </w:rPr>
      </w:pPr>
      <w:r w:rsidRPr="002B3CA5">
        <w:rPr>
          <w:rFonts w:cs="Arial"/>
          <w:b/>
          <w:i/>
          <w:szCs w:val="20"/>
        </w:rPr>
        <w:t>Po</w:t>
      </w:r>
      <w:r w:rsidRPr="002B3CA5">
        <w:rPr>
          <w:rFonts w:cs="Arial"/>
          <w:b/>
          <w:i/>
          <w:iCs/>
          <w:szCs w:val="20"/>
        </w:rPr>
        <w:t>litique d’approvisionnement de la société</w:t>
      </w:r>
      <w:r>
        <w:rPr>
          <w:rFonts w:cs="Arial"/>
          <w:b/>
          <w:i/>
          <w:iCs/>
          <w:szCs w:val="20"/>
        </w:rPr>
        <w:t xml:space="preserve"> </w:t>
      </w:r>
      <w:r w:rsidRPr="002B3CA5">
        <w:rPr>
          <w:rFonts w:cs="Arial"/>
          <w:szCs w:val="20"/>
        </w:rPr>
        <w:t>: commandes par quantité fixe</w:t>
      </w:r>
    </w:p>
    <w:p w14:paraId="267789D5" w14:textId="77777777" w:rsidR="005649D0" w:rsidRPr="002B3CA5" w:rsidRDefault="005649D0" w:rsidP="005649D0">
      <w:pPr>
        <w:pStyle w:val="Paragraphedeliste"/>
        <w:numPr>
          <w:ilvl w:val="0"/>
          <w:numId w:val="3"/>
        </w:numPr>
        <w:spacing w:before="120"/>
        <w:rPr>
          <w:rFonts w:cs="Arial"/>
          <w:szCs w:val="20"/>
        </w:rPr>
      </w:pPr>
      <w:r w:rsidRPr="002B3CA5">
        <w:rPr>
          <w:rFonts w:cs="Arial"/>
          <w:szCs w:val="20"/>
        </w:rPr>
        <w:t>Les livraisons ont lieu le 1</w:t>
      </w:r>
      <w:r w:rsidRPr="002B3CA5">
        <w:rPr>
          <w:rFonts w:cs="Arial"/>
          <w:szCs w:val="20"/>
          <w:vertAlign w:val="superscript"/>
        </w:rPr>
        <w:t>er</w:t>
      </w:r>
      <w:r w:rsidRPr="002B3CA5">
        <w:rPr>
          <w:rFonts w:cs="Arial"/>
          <w:szCs w:val="20"/>
        </w:rPr>
        <w:t xml:space="preserve"> du mois.</w:t>
      </w:r>
    </w:p>
    <w:p w14:paraId="52EF868C" w14:textId="77777777" w:rsidR="005649D0" w:rsidRPr="002B3CA5" w:rsidRDefault="005649D0" w:rsidP="005649D0">
      <w:pPr>
        <w:pStyle w:val="Paragraphedeliste"/>
        <w:numPr>
          <w:ilvl w:val="0"/>
          <w:numId w:val="3"/>
        </w:numPr>
        <w:spacing w:before="120"/>
        <w:rPr>
          <w:rFonts w:cs="Arial"/>
          <w:szCs w:val="20"/>
        </w:rPr>
      </w:pPr>
      <w:r w:rsidRPr="002B3CA5">
        <w:rPr>
          <w:rFonts w:cs="Arial"/>
          <w:szCs w:val="20"/>
        </w:rPr>
        <w:t>Le délai de livraison est de 15 jours.</w:t>
      </w:r>
    </w:p>
    <w:p w14:paraId="4A097E5A" w14:textId="77777777" w:rsidR="005649D0" w:rsidRPr="00DE424D" w:rsidRDefault="005649D0" w:rsidP="005649D0">
      <w:pPr>
        <w:pStyle w:val="Paragraphedeliste"/>
        <w:numPr>
          <w:ilvl w:val="0"/>
          <w:numId w:val="3"/>
        </w:numPr>
        <w:spacing w:before="120"/>
        <w:rPr>
          <w:rFonts w:cs="Arial"/>
          <w:szCs w:val="20"/>
        </w:rPr>
      </w:pPr>
      <w:r w:rsidRPr="002B3CA5">
        <w:rPr>
          <w:rFonts w:cs="Arial"/>
          <w:b/>
          <w:bCs/>
          <w:szCs w:val="20"/>
        </w:rPr>
        <w:t>Stock au 31/12/</w:t>
      </w:r>
      <w:r>
        <w:rPr>
          <w:rFonts w:cs="Arial"/>
          <w:b/>
          <w:bCs/>
          <w:szCs w:val="20"/>
        </w:rPr>
        <w:t xml:space="preserve">N </w:t>
      </w:r>
      <w:r w:rsidRPr="002B3CA5">
        <w:rPr>
          <w:rFonts w:cs="Arial"/>
          <w:b/>
          <w:bCs/>
          <w:szCs w:val="20"/>
        </w:rPr>
        <w:t xml:space="preserve">: </w:t>
      </w:r>
      <w:r>
        <w:rPr>
          <w:rFonts w:cs="Arial"/>
          <w:b/>
          <w:bCs/>
          <w:szCs w:val="20"/>
        </w:rPr>
        <w:t>8</w:t>
      </w:r>
      <w:r w:rsidRPr="002B3CA5">
        <w:rPr>
          <w:rFonts w:cs="Arial"/>
          <w:b/>
          <w:bCs/>
          <w:szCs w:val="20"/>
        </w:rPr>
        <w:t xml:space="preserve">00 </w:t>
      </w:r>
      <w:r w:rsidRPr="002B3CA5">
        <w:rPr>
          <w:rFonts w:cs="Arial"/>
          <w:bCs/>
          <w:szCs w:val="20"/>
        </w:rPr>
        <w:t>(égal au stock de sécurité)</w:t>
      </w:r>
    </w:p>
    <w:p w14:paraId="69412633" w14:textId="77777777" w:rsidR="005649D0" w:rsidRDefault="005649D0" w:rsidP="005649D0"/>
    <w:p w14:paraId="036354C3" w14:textId="77777777" w:rsidR="005649D0" w:rsidRDefault="005649D0" w:rsidP="005649D0">
      <w:pPr>
        <w:rPr>
          <w:rFonts w:cs="Arial"/>
          <w:bCs/>
        </w:rPr>
      </w:pPr>
    </w:p>
    <w:bookmarkEnd w:id="0"/>
    <w:p w14:paraId="277F0A6B" w14:textId="77777777" w:rsidR="001B014B" w:rsidRDefault="001B014B"/>
    <w:sectPr w:rsidR="001B014B" w:rsidSect="00DE6BE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F7C"/>
    <w:multiLevelType w:val="hybridMultilevel"/>
    <w:tmpl w:val="7AF69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63239"/>
    <w:multiLevelType w:val="hybridMultilevel"/>
    <w:tmpl w:val="F15E2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F453D"/>
    <w:multiLevelType w:val="multilevel"/>
    <w:tmpl w:val="30AEE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78503712">
    <w:abstractNumId w:val="1"/>
  </w:num>
  <w:num w:numId="2" w16cid:durableId="1768766511">
    <w:abstractNumId w:val="2"/>
  </w:num>
  <w:num w:numId="3" w16cid:durableId="99760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6E"/>
    <w:rsid w:val="000452D3"/>
    <w:rsid w:val="000818E0"/>
    <w:rsid w:val="001B014B"/>
    <w:rsid w:val="005649D0"/>
    <w:rsid w:val="00615C00"/>
    <w:rsid w:val="00744B11"/>
    <w:rsid w:val="00CB660B"/>
    <w:rsid w:val="00D3436E"/>
    <w:rsid w:val="00D45F5E"/>
    <w:rsid w:val="00D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F6FB"/>
  <w15:chartTrackingRefBased/>
  <w15:docId w15:val="{4A5F99B1-4D03-4DE8-ACF7-34D881EA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6E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D3436E"/>
    <w:pPr>
      <w:spacing w:after="120"/>
      <w:outlineLvl w:val="1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3436E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3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2020-07-20T21:51:00Z</dcterms:created>
  <dcterms:modified xsi:type="dcterms:W3CDTF">2024-04-09T07:34:00Z</dcterms:modified>
</cp:coreProperties>
</file>