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3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7796"/>
        <w:gridCol w:w="993"/>
      </w:tblGrid>
      <w:tr w:rsidR="00D415FD" w:rsidRPr="00D415FD" w14:paraId="2838F858" w14:textId="77777777" w:rsidTr="006540F3">
        <w:trPr>
          <w:trHeight w:val="386"/>
        </w:trPr>
        <w:tc>
          <w:tcPr>
            <w:tcW w:w="10173" w:type="dxa"/>
            <w:gridSpan w:val="3"/>
            <w:shd w:val="clear" w:color="auto" w:fill="FFFF00"/>
          </w:tcPr>
          <w:p w14:paraId="74923645" w14:textId="77777777" w:rsidR="00D415FD" w:rsidRPr="00D415FD" w:rsidRDefault="00D415FD" w:rsidP="00D415FD">
            <w:pPr>
              <w:pStyle w:val="Sansinterligne"/>
              <w:jc w:val="center"/>
              <w:rPr>
                <w:rStyle w:val="Accentuationlgre"/>
                <w:b/>
                <w:sz w:val="28"/>
                <w:szCs w:val="44"/>
              </w:rPr>
            </w:pPr>
            <w:bookmarkStart w:id="0" w:name="_Hlk162738411"/>
            <w:r w:rsidRPr="00D415FD">
              <w:rPr>
                <w:rStyle w:val="Accentuationlgre"/>
                <w:b/>
                <w:sz w:val="28"/>
                <w:szCs w:val="44"/>
              </w:rPr>
              <w:t>Réflexion 1 – Pourquoi calculer les coûts et prix de revient</w:t>
            </w:r>
          </w:p>
        </w:tc>
      </w:tr>
      <w:tr w:rsidR="00D415FD" w:rsidRPr="00A1499C" w14:paraId="3465CD3C" w14:textId="77777777" w:rsidTr="006540F3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2C9C0470" w14:textId="77777777" w:rsidR="00D415FD" w:rsidRPr="00A1499C" w:rsidRDefault="00D415FD" w:rsidP="006540F3">
            <w:r w:rsidRPr="00A1499C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78630690" w14:textId="77777777" w:rsidR="00D415FD" w:rsidRPr="00A1499C" w:rsidRDefault="00D415FD" w:rsidP="006540F3">
            <w:pPr>
              <w:jc w:val="center"/>
            </w:pP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766B8780" wp14:editId="163A2CF8">
                  <wp:extent cx="324000" cy="324000"/>
                  <wp:effectExtent l="0" t="0" r="0" b="0"/>
                  <wp:docPr id="2004544213" name="Graphique 20045442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5306" name="Graphique 408753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7297">
              <w:rPr>
                <w:rFonts w:cs="Calibri"/>
                <w:color w:val="000000" w:themeColor="text1"/>
              </w:rPr>
              <w:t>ou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50DBD61F" wp14:editId="1CB24DAA">
                  <wp:extent cx="324000" cy="324000"/>
                  <wp:effectExtent l="0" t="0" r="0" b="0"/>
                  <wp:docPr id="1765086550" name="Graphique 176508655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55315" name="Graphique 80725531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FFC644" w14:textId="77777777" w:rsidR="00D415FD" w:rsidRPr="00A1499C" w:rsidRDefault="00D415FD" w:rsidP="006540F3">
            <w:r>
              <w:t>Source</w:t>
            </w:r>
          </w:p>
        </w:tc>
      </w:tr>
    </w:tbl>
    <w:p w14:paraId="407F48EB" w14:textId="77777777" w:rsidR="00D415FD" w:rsidRPr="006B44DF" w:rsidRDefault="00D415FD" w:rsidP="00D415FD">
      <w:pPr>
        <w:spacing w:before="240"/>
        <w:rPr>
          <w:rFonts w:cs="Arial"/>
          <w:b/>
          <w:sz w:val="24"/>
          <w:szCs w:val="24"/>
        </w:rPr>
      </w:pPr>
      <w:r w:rsidRPr="006B44DF">
        <w:rPr>
          <w:rFonts w:cs="Arial"/>
          <w:b/>
          <w:sz w:val="24"/>
          <w:szCs w:val="24"/>
        </w:rPr>
        <w:t>Travail à faire</w:t>
      </w:r>
      <w:r w:rsidRPr="006B44DF">
        <w:rPr>
          <w:rFonts w:cs="Arial"/>
          <w:b/>
          <w:sz w:val="24"/>
          <w:szCs w:val="24"/>
        </w:rPr>
        <w:tab/>
      </w:r>
    </w:p>
    <w:p w14:paraId="6E1D3C34" w14:textId="77777777" w:rsidR="00D415FD" w:rsidRPr="00A43FE4" w:rsidRDefault="00D415FD" w:rsidP="00D415FD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1507"/>
        </w:tabs>
        <w:spacing w:before="120" w:after="120"/>
        <w:jc w:val="left"/>
        <w:rPr>
          <w:rFonts w:cs="Arial"/>
          <w:bCs/>
        </w:rPr>
      </w:pPr>
      <w:r>
        <w:rPr>
          <w:rFonts w:cs="Arial"/>
          <w:bCs/>
        </w:rPr>
        <w:t>Après avoir lu le document répondez a</w:t>
      </w:r>
      <w:r w:rsidRPr="00A43FE4">
        <w:rPr>
          <w:rFonts w:cs="Arial"/>
          <w:bCs/>
        </w:rPr>
        <w:t xml:space="preserve">ux questions </w:t>
      </w:r>
      <w:r>
        <w:rPr>
          <w:rFonts w:cs="Arial"/>
          <w:bCs/>
        </w:rPr>
        <w:t>suivantes :</w:t>
      </w:r>
    </w:p>
    <w:p w14:paraId="729B991D" w14:textId="77777777" w:rsidR="00D415FD" w:rsidRPr="00D415FD" w:rsidRDefault="00D415FD" w:rsidP="00D415FD">
      <w:pPr>
        <w:pStyle w:val="Paragraphedeliste"/>
        <w:numPr>
          <w:ilvl w:val="0"/>
          <w:numId w:val="6"/>
        </w:numPr>
        <w:ind w:left="360"/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En quoi consiste un calcul d’un coût ?</w:t>
      </w:r>
    </w:p>
    <w:p w14:paraId="564DE20C" w14:textId="77777777" w:rsidR="00D415FD" w:rsidRPr="00D415FD" w:rsidRDefault="00D415FD" w:rsidP="00D415FD">
      <w:pPr>
        <w:pStyle w:val="Paragraphedeliste"/>
        <w:numPr>
          <w:ilvl w:val="0"/>
          <w:numId w:val="6"/>
        </w:numPr>
        <w:ind w:left="360"/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Quelle est sa finalité première</w:t>
      </w:r>
      <w:r w:rsidRPr="00D415FD">
        <w:rPr>
          <w:rStyle w:val="Accentuationlgre"/>
          <w:bCs/>
          <w:sz w:val="20"/>
          <w:szCs w:val="14"/>
        </w:rPr>
        <w:t> ?</w:t>
      </w:r>
    </w:p>
    <w:p w14:paraId="04E5D196" w14:textId="77777777" w:rsidR="00D415FD" w:rsidRPr="00D415FD" w:rsidRDefault="00D415FD" w:rsidP="00D415FD">
      <w:pPr>
        <w:pStyle w:val="Paragraphedeliste"/>
        <w:numPr>
          <w:ilvl w:val="0"/>
          <w:numId w:val="6"/>
        </w:numPr>
        <w:ind w:left="360"/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 xml:space="preserve">Quels sont les apports de ces informations pour la direction </w:t>
      </w:r>
      <w:r w:rsidRPr="00D415FD">
        <w:rPr>
          <w:rStyle w:val="Accentuationlgre"/>
          <w:bCs/>
          <w:sz w:val="20"/>
          <w:szCs w:val="14"/>
        </w:rPr>
        <w:t>?</w:t>
      </w:r>
    </w:p>
    <w:p w14:paraId="7FA61831" w14:textId="77777777" w:rsidR="00D415FD" w:rsidRPr="00D415FD" w:rsidRDefault="00D415FD" w:rsidP="00D415FD">
      <w:pPr>
        <w:pStyle w:val="Paragraphedeliste"/>
        <w:numPr>
          <w:ilvl w:val="0"/>
          <w:numId w:val="6"/>
        </w:numPr>
        <w:ind w:left="360"/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En quoi le calcul de coûts peut aider l’entreprise à fixer ses prix de vente</w:t>
      </w:r>
      <w:r w:rsidRPr="00D415FD">
        <w:rPr>
          <w:rStyle w:val="Accentuationlgre"/>
          <w:bCs/>
          <w:sz w:val="20"/>
          <w:szCs w:val="14"/>
        </w:rPr>
        <w:t> ?</w:t>
      </w:r>
    </w:p>
    <w:p w14:paraId="21FB128E" w14:textId="77777777" w:rsidR="00D415FD" w:rsidRPr="00D415FD" w:rsidRDefault="00D415FD" w:rsidP="00D415FD">
      <w:pPr>
        <w:pStyle w:val="Paragraphedeliste"/>
        <w:numPr>
          <w:ilvl w:val="0"/>
          <w:numId w:val="6"/>
        </w:numPr>
        <w:ind w:left="360"/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 xml:space="preserve">En quoi le calcul de coûts </w:t>
      </w:r>
      <w:proofErr w:type="spellStart"/>
      <w:r w:rsidRPr="00D415FD">
        <w:rPr>
          <w:rStyle w:val="Accentuationlgre"/>
          <w:b w:val="0"/>
          <w:bCs/>
          <w:sz w:val="20"/>
          <w:szCs w:val="14"/>
        </w:rPr>
        <w:t>inluence</w:t>
      </w:r>
      <w:proofErr w:type="spellEnd"/>
      <w:r w:rsidRPr="00D415FD">
        <w:rPr>
          <w:rStyle w:val="Accentuationlgre"/>
          <w:b w:val="0"/>
          <w:bCs/>
          <w:sz w:val="20"/>
          <w:szCs w:val="14"/>
        </w:rPr>
        <w:t xml:space="preserve"> les négociations avec les clients et les fournisseurs ?</w:t>
      </w:r>
    </w:p>
    <w:p w14:paraId="380383B7" w14:textId="77777777" w:rsidR="00D415FD" w:rsidRPr="00D415FD" w:rsidRDefault="00D415FD" w:rsidP="00D415FD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6001"/>
          <w:tab w:val="left" w:pos="7540"/>
        </w:tabs>
        <w:jc w:val="left"/>
        <w:rPr>
          <w:rFonts w:eastAsiaTheme="majorEastAsia"/>
          <w:sz w:val="16"/>
          <w:szCs w:val="16"/>
        </w:rPr>
      </w:pPr>
    </w:p>
    <w:p w14:paraId="79E0CACF" w14:textId="77777777" w:rsidR="00D415FD" w:rsidRDefault="00D415FD" w:rsidP="00D415FD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6001"/>
          <w:tab w:val="left" w:pos="7540"/>
        </w:tabs>
        <w:jc w:val="left"/>
        <w:rPr>
          <w:rFonts w:eastAsiaTheme="majorEastAsia"/>
        </w:rPr>
      </w:pPr>
    </w:p>
    <w:p w14:paraId="3FD16468" w14:textId="77777777" w:rsidR="00D415FD" w:rsidRDefault="00D415FD" w:rsidP="00D415FD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6001"/>
          <w:tab w:val="left" w:pos="7540"/>
        </w:tabs>
        <w:jc w:val="left"/>
        <w:rPr>
          <w:rFonts w:eastAsiaTheme="majorEastAsia"/>
        </w:rPr>
      </w:pPr>
    </w:p>
    <w:p w14:paraId="5F05B156" w14:textId="77777777" w:rsidR="00D415FD" w:rsidRPr="006B44DF" w:rsidRDefault="00D415FD" w:rsidP="00D415FD">
      <w:pPr>
        <w:spacing w:before="120" w:after="120"/>
        <w:rPr>
          <w:rStyle w:val="Accentuationlgre"/>
          <w:bCs/>
          <w:szCs w:val="22"/>
        </w:rPr>
      </w:pPr>
      <w:r w:rsidRPr="006B44DF">
        <w:rPr>
          <w:rStyle w:val="Accentuationlgre"/>
          <w:bCs/>
          <w:color w:val="FFFFFF" w:themeColor="background1"/>
          <w:szCs w:val="22"/>
          <w:highlight w:val="red"/>
        </w:rPr>
        <w:t>Doc</w:t>
      </w:r>
      <w:r>
        <w:rPr>
          <w:rStyle w:val="Accentuationlgre"/>
          <w:bCs/>
          <w:color w:val="FFFFFF" w:themeColor="background1"/>
          <w:szCs w:val="22"/>
          <w:highlight w:val="red"/>
        </w:rPr>
        <w:t>.</w:t>
      </w:r>
      <w:r w:rsidRPr="00A43FE4">
        <w:rPr>
          <w:rStyle w:val="Accentuationlgre"/>
          <w:bCs/>
          <w:szCs w:val="22"/>
          <w:highlight w:val="red"/>
        </w:rPr>
        <w:t>. </w:t>
      </w:r>
      <w:r w:rsidRPr="00A43FE4">
        <w:rPr>
          <w:rStyle w:val="Accentuationlgre"/>
          <w:bCs/>
          <w:szCs w:val="22"/>
        </w:rPr>
        <w:t xml:space="preserve"> </w:t>
      </w:r>
      <w:r>
        <w:rPr>
          <w:rStyle w:val="Accentuationlgre"/>
          <w:bCs/>
          <w:szCs w:val="22"/>
        </w:rPr>
        <w:t>Implication des calculs de coût et prix de revient</w:t>
      </w:r>
    </w:p>
    <w:p w14:paraId="78711BFC" w14:textId="77777777" w:rsidR="00D415FD" w:rsidRDefault="00D415FD" w:rsidP="00D415FD">
      <w:pPr>
        <w:spacing w:after="120"/>
      </w:pPr>
      <w:r w:rsidRPr="00F41891">
        <w:t>Le calcul d'un coût et d'un prix de revient d'un produit ou d'un service</w:t>
      </w:r>
      <w:r>
        <w:t xml:space="preserve"> </w:t>
      </w:r>
      <w:r w:rsidRPr="00F41891">
        <w:t>consiste à additionner toutes les charges ou les dépenses qui sont lié</w:t>
      </w:r>
      <w:r>
        <w:t>e</w:t>
      </w:r>
      <w:r w:rsidRPr="00F41891">
        <w:t xml:space="preserve">s à la fabrication d'un produit </w:t>
      </w:r>
      <w:r>
        <w:t>(charges d’</w:t>
      </w:r>
      <w:r w:rsidRPr="00F41891">
        <w:t>achats</w:t>
      </w:r>
      <w:r>
        <w:t xml:space="preserve">, charges </w:t>
      </w:r>
      <w:r w:rsidRPr="00F41891">
        <w:t xml:space="preserve">de production </w:t>
      </w:r>
      <w:r>
        <w:t>charges</w:t>
      </w:r>
      <w:r w:rsidRPr="00F41891">
        <w:t xml:space="preserve"> de distribution</w:t>
      </w:r>
      <w:r>
        <w:t>, charges administrative, charge de maintenance, charge d’investissement)</w:t>
      </w:r>
      <w:r w:rsidRPr="00F41891">
        <w:t xml:space="preserve"> afin de déterminer le prix auquel le produit ou le service revient</w:t>
      </w:r>
      <w:r>
        <w:t>.</w:t>
      </w:r>
    </w:p>
    <w:p w14:paraId="264B9A65" w14:textId="77777777" w:rsidR="00D415FD" w:rsidRDefault="00D415FD" w:rsidP="00D415FD">
      <w:r w:rsidRPr="00F41891">
        <w:t xml:space="preserve">En comparant </w:t>
      </w:r>
      <w:r>
        <w:t>l</w:t>
      </w:r>
      <w:r w:rsidRPr="00F41891">
        <w:t>e prix revient au prix facturé aux clients</w:t>
      </w:r>
      <w:r>
        <w:t>,</w:t>
      </w:r>
      <w:r w:rsidRPr="00F41891">
        <w:t xml:space="preserve"> l'entreprise peut ainsi déterminer si elle réalise un bénéfice ou une perte sur cette opération</w:t>
      </w:r>
      <w:r>
        <w:t>.</w:t>
      </w:r>
    </w:p>
    <w:p w14:paraId="3D6ED44E" w14:textId="77777777" w:rsidR="00D415FD" w:rsidRDefault="00D415FD" w:rsidP="00D415FD"/>
    <w:p w14:paraId="5FD39657" w14:textId="77777777" w:rsidR="00D415FD" w:rsidRDefault="00D415FD" w:rsidP="00D415FD">
      <w:r>
        <w:t>L</w:t>
      </w:r>
      <w:r w:rsidRPr="000A6EB2">
        <w:t xml:space="preserve">e calcul des coûts et des prix de revient est </w:t>
      </w:r>
      <w:r>
        <w:t xml:space="preserve">donc </w:t>
      </w:r>
      <w:r w:rsidRPr="000A6EB2">
        <w:t>un aspect crucial de la gestion d'une entreprise, car il fournit les informations nécessaires pour prendre des décisions stratégiques, optimiser les opérations et assurer la rentabilité à long terme.</w:t>
      </w:r>
    </w:p>
    <w:p w14:paraId="533B77EC" w14:textId="77777777" w:rsidR="00D415FD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before="120" w:after="120"/>
        <w:ind w:left="284" w:hanging="284"/>
      </w:pPr>
      <w:r w:rsidRPr="000A6EB2">
        <w:rPr>
          <w:b/>
          <w:bCs/>
          <w:bdr w:val="single" w:sz="2" w:space="0" w:color="E3E3E3" w:frame="1"/>
        </w:rPr>
        <w:t>Évalu</w:t>
      </w:r>
      <w:r>
        <w:rPr>
          <w:b/>
          <w:bCs/>
          <w:bdr w:val="single" w:sz="2" w:space="0" w:color="E3E3E3" w:frame="1"/>
        </w:rPr>
        <w:t>er s</w:t>
      </w:r>
      <w:r w:rsidRPr="000A6EB2">
        <w:rPr>
          <w:b/>
          <w:bCs/>
          <w:bdr w:val="single" w:sz="2" w:space="0" w:color="E3E3E3" w:frame="1"/>
        </w:rPr>
        <w:t>a rentabilité :</w:t>
      </w:r>
      <w:r w:rsidRPr="000A6EB2">
        <w:t xml:space="preserve"> Calculer les coûts et les prix de revient </w:t>
      </w:r>
      <w:r>
        <w:t xml:space="preserve">d’un produit ou d’un service </w:t>
      </w:r>
      <w:r w:rsidRPr="000A6EB2">
        <w:t xml:space="preserve">permet à </w:t>
      </w:r>
      <w:r>
        <w:t>l’</w:t>
      </w:r>
      <w:r w:rsidRPr="000A6EB2">
        <w:t xml:space="preserve">entreprise </w:t>
      </w:r>
      <w:r>
        <w:t xml:space="preserve">le comparer à son prix de vente ou de facturation et ainsi </w:t>
      </w:r>
      <w:r w:rsidRPr="000A6EB2">
        <w:t>de déterminer si elle réalise des bénéfices sur ses produits ou services. Cela lui permet d'évaluer sa rentabilité et de prendre des décisions stratégiques en conséquence</w:t>
      </w:r>
      <w:r>
        <w:t xml:space="preserve"> en augmentant éventuellement ses prix de vente ou en réduisant ses coûts</w:t>
      </w:r>
      <w:r w:rsidRPr="000A6EB2">
        <w:t>.</w:t>
      </w:r>
    </w:p>
    <w:p w14:paraId="2B747D4A" w14:textId="77777777" w:rsidR="00D415FD" w:rsidRPr="000A6EB2" w:rsidRDefault="00D415FD" w:rsidP="00D415FD">
      <w:pPr>
        <w:pStyle w:val="Paragraphedeliste"/>
        <w:tabs>
          <w:tab w:val="clear" w:pos="144"/>
        </w:tabs>
        <w:spacing w:before="120" w:after="120"/>
        <w:ind w:left="284" w:hanging="284"/>
      </w:pPr>
    </w:p>
    <w:p w14:paraId="2EF75095" w14:textId="77777777" w:rsidR="00D415FD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</w:pPr>
      <w:r w:rsidRPr="000A6EB2">
        <w:rPr>
          <w:b/>
          <w:bCs/>
          <w:bdr w:val="single" w:sz="2" w:space="0" w:color="E3E3E3" w:frame="1"/>
        </w:rPr>
        <w:t>Pr</w:t>
      </w:r>
      <w:r>
        <w:rPr>
          <w:b/>
          <w:bCs/>
          <w:bdr w:val="single" w:sz="2" w:space="0" w:color="E3E3E3" w:frame="1"/>
        </w:rPr>
        <w:t>endre</w:t>
      </w:r>
      <w:r w:rsidRPr="000A6EB2">
        <w:rPr>
          <w:b/>
          <w:bCs/>
          <w:bdr w:val="single" w:sz="2" w:space="0" w:color="E3E3E3" w:frame="1"/>
        </w:rPr>
        <w:t xml:space="preserve"> de</w:t>
      </w:r>
      <w:r>
        <w:rPr>
          <w:b/>
          <w:bCs/>
          <w:bdr w:val="single" w:sz="2" w:space="0" w:color="E3E3E3" w:frame="1"/>
        </w:rPr>
        <w:t>s</w:t>
      </w:r>
      <w:r w:rsidRPr="000A6EB2">
        <w:rPr>
          <w:b/>
          <w:bCs/>
          <w:bdr w:val="single" w:sz="2" w:space="0" w:color="E3E3E3" w:frame="1"/>
        </w:rPr>
        <w:t xml:space="preserve"> décision</w:t>
      </w:r>
      <w:r>
        <w:rPr>
          <w:b/>
          <w:bCs/>
          <w:bdr w:val="single" w:sz="2" w:space="0" w:color="E3E3E3" w:frame="1"/>
        </w:rPr>
        <w:t>s</w:t>
      </w:r>
      <w:r w:rsidRPr="000A6EB2">
        <w:rPr>
          <w:b/>
          <w:bCs/>
          <w:bdr w:val="single" w:sz="2" w:space="0" w:color="E3E3E3" w:frame="1"/>
        </w:rPr>
        <w:t xml:space="preserve"> :</w:t>
      </w:r>
      <w:r w:rsidRPr="000A6EB2">
        <w:t xml:space="preserve"> Les données sur les coûts et les prix de revient aident les entreprises à prendre des décisions éclairées en matière de tarification, de production, de distribution, d'investissement et d'autres aspects de leurs activités</w:t>
      </w:r>
      <w:r>
        <w:t xml:space="preserve"> qui sont susceptible de réduire les prix de revient ou d’accroitre le chiffre d’affaires.</w:t>
      </w:r>
    </w:p>
    <w:p w14:paraId="60DB2FA8" w14:textId="77777777" w:rsidR="00D415FD" w:rsidRPr="000A6EB2" w:rsidRDefault="00D415FD" w:rsidP="00D415FD">
      <w:pPr>
        <w:pStyle w:val="Paragraphedeliste"/>
        <w:tabs>
          <w:tab w:val="clear" w:pos="144"/>
        </w:tabs>
        <w:spacing w:after="120"/>
        <w:ind w:left="284" w:hanging="284"/>
      </w:pPr>
    </w:p>
    <w:p w14:paraId="53C01D77" w14:textId="77777777" w:rsidR="00D415FD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</w:pPr>
      <w:r w:rsidRPr="000A6EB2">
        <w:rPr>
          <w:b/>
          <w:bCs/>
          <w:bdr w:val="single" w:sz="2" w:space="0" w:color="E3E3E3" w:frame="1"/>
        </w:rPr>
        <w:t>Fix</w:t>
      </w:r>
      <w:r>
        <w:rPr>
          <w:b/>
          <w:bCs/>
          <w:bdr w:val="single" w:sz="2" w:space="0" w:color="E3E3E3" w:frame="1"/>
        </w:rPr>
        <w:t>er l</w:t>
      </w:r>
      <w:r w:rsidRPr="000A6EB2">
        <w:rPr>
          <w:b/>
          <w:bCs/>
          <w:bdr w:val="single" w:sz="2" w:space="0" w:color="E3E3E3" w:frame="1"/>
        </w:rPr>
        <w:t>es prix :</w:t>
      </w:r>
      <w:r w:rsidRPr="000A6EB2">
        <w:t xml:space="preserve"> En comprenant les coûts associés à la production d'un produit ou à la prestation d'un service, </w:t>
      </w:r>
      <w:r>
        <w:t>l’</w:t>
      </w:r>
      <w:r w:rsidRPr="000A6EB2">
        <w:t xml:space="preserve">entreprise peut fixer des prix </w:t>
      </w:r>
      <w:r>
        <w:t xml:space="preserve">de vente </w:t>
      </w:r>
      <w:r w:rsidRPr="000A6EB2">
        <w:t xml:space="preserve">qui couvrent </w:t>
      </w:r>
      <w:r>
        <w:t>s</w:t>
      </w:r>
      <w:r w:rsidRPr="000A6EB2">
        <w:t>es coûts tout en restant compétitifs sur le marché</w:t>
      </w:r>
      <w:r>
        <w:t xml:space="preserve"> par rapport à la concurrence</w:t>
      </w:r>
      <w:r w:rsidRPr="000A6EB2">
        <w:t>.</w:t>
      </w:r>
    </w:p>
    <w:p w14:paraId="0C374B7B" w14:textId="77777777" w:rsidR="00D415FD" w:rsidRPr="000A6EB2" w:rsidRDefault="00D415FD" w:rsidP="00D415FD">
      <w:pPr>
        <w:pStyle w:val="Paragraphedeliste"/>
        <w:tabs>
          <w:tab w:val="clear" w:pos="144"/>
        </w:tabs>
        <w:spacing w:after="120"/>
        <w:ind w:left="284" w:hanging="284"/>
      </w:pPr>
    </w:p>
    <w:p w14:paraId="40575AB7" w14:textId="77777777" w:rsidR="00D415FD" w:rsidRPr="000A6EB2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</w:pPr>
      <w:r w:rsidRPr="000A6EB2">
        <w:rPr>
          <w:b/>
          <w:bCs/>
          <w:bdr w:val="single" w:sz="2" w:space="0" w:color="E3E3E3" w:frame="1"/>
        </w:rPr>
        <w:t>Contrôle</w:t>
      </w:r>
      <w:r>
        <w:rPr>
          <w:b/>
          <w:bCs/>
          <w:bdr w:val="single" w:sz="2" w:space="0" w:color="E3E3E3" w:frame="1"/>
        </w:rPr>
        <w:t>r</w:t>
      </w:r>
      <w:r w:rsidRPr="000A6EB2">
        <w:rPr>
          <w:b/>
          <w:bCs/>
          <w:bdr w:val="single" w:sz="2" w:space="0" w:color="E3E3E3" w:frame="1"/>
        </w:rPr>
        <w:t xml:space="preserve"> </w:t>
      </w:r>
      <w:r>
        <w:rPr>
          <w:b/>
          <w:bCs/>
          <w:bdr w:val="single" w:sz="2" w:space="0" w:color="E3E3E3" w:frame="1"/>
        </w:rPr>
        <w:t>l</w:t>
      </w:r>
      <w:r w:rsidRPr="000A6EB2">
        <w:rPr>
          <w:b/>
          <w:bCs/>
          <w:bdr w:val="single" w:sz="2" w:space="0" w:color="E3E3E3" w:frame="1"/>
        </w:rPr>
        <w:t>es coûts :</w:t>
      </w:r>
      <w:r w:rsidRPr="000A6EB2">
        <w:t xml:space="preserve"> Le calcul des coûts permet à </w:t>
      </w:r>
      <w:r>
        <w:t>l’</w:t>
      </w:r>
      <w:r w:rsidRPr="000A6EB2">
        <w:t>entreprise d'identifier les domaines</w:t>
      </w:r>
      <w:r>
        <w:t>, les charges</w:t>
      </w:r>
      <w:r w:rsidRPr="000A6EB2">
        <w:t xml:space="preserve"> où elle peut réduire les dépenses et d'optimiser ses opérations pour améliorer son efficacité et sa rentabilité.</w:t>
      </w:r>
    </w:p>
    <w:p w14:paraId="723FFEB0" w14:textId="77777777" w:rsidR="00D415FD" w:rsidRPr="009260AB" w:rsidRDefault="00D415FD" w:rsidP="00D415FD">
      <w:pPr>
        <w:pStyle w:val="Paragraphedeliste"/>
        <w:tabs>
          <w:tab w:val="clear" w:pos="144"/>
        </w:tabs>
        <w:spacing w:after="120"/>
        <w:ind w:left="284" w:hanging="284"/>
      </w:pPr>
    </w:p>
    <w:p w14:paraId="1C1A8879" w14:textId="77777777" w:rsidR="00D415FD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</w:pPr>
      <w:r w:rsidRPr="000A6EB2">
        <w:rPr>
          <w:b/>
          <w:bCs/>
          <w:bdr w:val="single" w:sz="2" w:space="0" w:color="E3E3E3" w:frame="1"/>
        </w:rPr>
        <w:t>Évalu</w:t>
      </w:r>
      <w:r>
        <w:rPr>
          <w:b/>
          <w:bCs/>
          <w:bdr w:val="single" w:sz="2" w:space="0" w:color="E3E3E3" w:frame="1"/>
        </w:rPr>
        <w:t>er sa</w:t>
      </w:r>
      <w:r w:rsidRPr="000A6EB2">
        <w:rPr>
          <w:b/>
          <w:bCs/>
          <w:bdr w:val="single" w:sz="2" w:space="0" w:color="E3E3E3" w:frame="1"/>
        </w:rPr>
        <w:t xml:space="preserve"> performance :</w:t>
      </w:r>
      <w:r w:rsidRPr="000A6EB2">
        <w:t xml:space="preserve"> </w:t>
      </w:r>
      <w:r>
        <w:t xml:space="preserve">Les coûts évoluent constamment du fait de contingences internes ou externes (inflation, modification des salaires, augmentation ou diminution des matières utilisées…). </w:t>
      </w:r>
      <w:r w:rsidRPr="000A6EB2">
        <w:t xml:space="preserve">Comparer les coûts réels avec les prévisions permet à </w:t>
      </w:r>
      <w:r>
        <w:t>l’</w:t>
      </w:r>
      <w:r w:rsidRPr="000A6EB2">
        <w:t>entreprise d'évaluer sa performance opérationnelle et financière, d'identifier les écarts et de prendre des mesures correctives si nécessaire.</w:t>
      </w:r>
    </w:p>
    <w:p w14:paraId="40F2380A" w14:textId="77777777" w:rsidR="00D415FD" w:rsidRPr="000A6EB2" w:rsidRDefault="00D415FD" w:rsidP="00D415FD">
      <w:pPr>
        <w:pStyle w:val="Paragraphedeliste"/>
        <w:tabs>
          <w:tab w:val="clear" w:pos="144"/>
        </w:tabs>
        <w:spacing w:after="120"/>
        <w:ind w:left="284" w:hanging="284"/>
      </w:pPr>
    </w:p>
    <w:p w14:paraId="275CA64F" w14:textId="77777777" w:rsidR="00D415FD" w:rsidRPr="001D41EE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  <w:rPr>
          <w:b/>
          <w:bCs/>
          <w:bdr w:val="single" w:sz="2" w:space="0" w:color="E3E3E3" w:frame="1"/>
        </w:rPr>
      </w:pPr>
      <w:r w:rsidRPr="001D41EE">
        <w:rPr>
          <w:b/>
          <w:bCs/>
          <w:bdr w:val="single" w:sz="2" w:space="0" w:color="E3E3E3" w:frame="1"/>
        </w:rPr>
        <w:t xml:space="preserve">Négocier avec les fournisseurs : </w:t>
      </w:r>
      <w:r w:rsidRPr="000A6EB2">
        <w:t>Les informations sur les coûts et les prix de revient sont nécessaires lors de négociations avec les fournisseurs pour obtenir des prix compétitifs sur les matières premières et les services</w:t>
      </w:r>
      <w:r>
        <w:t xml:space="preserve"> dans la mesure ou une augmentation des prix d’achats va réduire le bénéfice à prix constant et une réduction de ce même prix va accroitre la rentabilité</w:t>
      </w:r>
      <w:r w:rsidRPr="000A6EB2">
        <w:t xml:space="preserve">. </w:t>
      </w:r>
    </w:p>
    <w:p w14:paraId="2864F3E6" w14:textId="77777777" w:rsidR="00D415FD" w:rsidRPr="001D41EE" w:rsidRDefault="00D415FD" w:rsidP="00D415FD">
      <w:pPr>
        <w:pStyle w:val="Paragraphedeliste"/>
        <w:tabs>
          <w:tab w:val="clear" w:pos="144"/>
        </w:tabs>
        <w:spacing w:after="120"/>
        <w:ind w:left="284"/>
      </w:pPr>
    </w:p>
    <w:p w14:paraId="43ED982B" w14:textId="77777777" w:rsidR="00D415FD" w:rsidRPr="000A6EB2" w:rsidRDefault="00D415FD" w:rsidP="00D415FD">
      <w:pPr>
        <w:pStyle w:val="Paragraphedeliste"/>
        <w:numPr>
          <w:ilvl w:val="0"/>
          <w:numId w:val="8"/>
        </w:numPr>
        <w:tabs>
          <w:tab w:val="clear" w:pos="144"/>
        </w:tabs>
        <w:spacing w:after="120"/>
        <w:ind w:left="284" w:hanging="284"/>
      </w:pPr>
      <w:r w:rsidRPr="000A6EB2">
        <w:rPr>
          <w:b/>
          <w:bCs/>
          <w:bdr w:val="single" w:sz="2" w:space="0" w:color="E3E3E3" w:frame="1"/>
        </w:rPr>
        <w:t>Négoci</w:t>
      </w:r>
      <w:r>
        <w:rPr>
          <w:b/>
          <w:bCs/>
          <w:bdr w:val="single" w:sz="2" w:space="0" w:color="E3E3E3" w:frame="1"/>
        </w:rPr>
        <w:t xml:space="preserve">er </w:t>
      </w:r>
      <w:r w:rsidRPr="000A6EB2">
        <w:rPr>
          <w:b/>
          <w:bCs/>
          <w:bdr w:val="single" w:sz="2" w:space="0" w:color="E3E3E3" w:frame="1"/>
        </w:rPr>
        <w:t>avec les clients :</w:t>
      </w:r>
      <w:r w:rsidRPr="000A6EB2">
        <w:t xml:space="preserve"> Les informations sur les coûts et les prix de revient sont nécessaires lors de négociations avec les</w:t>
      </w:r>
      <w:r>
        <w:t xml:space="preserve"> clients </w:t>
      </w:r>
      <w:r w:rsidRPr="000A6EB2">
        <w:t>pour justifier les prix ou les tarifs proposés</w:t>
      </w:r>
      <w:r>
        <w:t>. L’entreprise qui connait précisément sont prix de revient et son résultat par produit ou service connait précisément sa marge de négociation avec le client et peut éviter ainsi une vente à perte</w:t>
      </w:r>
      <w:r w:rsidRPr="000A6EB2">
        <w:t>.</w:t>
      </w:r>
    </w:p>
    <w:p w14:paraId="0CF38CC1" w14:textId="77777777" w:rsidR="00D415FD" w:rsidRDefault="00D415FD" w:rsidP="00D415FD"/>
    <w:p w14:paraId="25CD44CF" w14:textId="77777777" w:rsidR="00D415FD" w:rsidRDefault="00D415FD" w:rsidP="00D415FD"/>
    <w:p w14:paraId="5E6E42FB" w14:textId="77777777" w:rsidR="00D415FD" w:rsidRDefault="00D415FD" w:rsidP="00D415FD"/>
    <w:bookmarkEnd w:id="0"/>
    <w:p w14:paraId="043DF26F" w14:textId="5001DF90" w:rsidR="00D415FD" w:rsidRDefault="00D415FD" w:rsidP="00D415FD">
      <w:pPr>
        <w:spacing w:before="240"/>
        <w:rPr>
          <w:rFonts w:cs="Arial"/>
          <w:b/>
          <w:sz w:val="24"/>
          <w:szCs w:val="24"/>
        </w:rPr>
      </w:pPr>
      <w:r w:rsidRPr="006B44DF">
        <w:rPr>
          <w:rFonts w:cs="Arial"/>
          <w:b/>
          <w:sz w:val="24"/>
          <w:szCs w:val="24"/>
        </w:rPr>
        <w:lastRenderedPageBreak/>
        <w:t>Travail à faire</w:t>
      </w:r>
      <w:r w:rsidRPr="006B44DF">
        <w:rPr>
          <w:rFonts w:cs="Arial"/>
          <w:b/>
          <w:sz w:val="24"/>
          <w:szCs w:val="24"/>
        </w:rPr>
        <w:tab/>
      </w:r>
    </w:p>
    <w:p w14:paraId="0EBFD92E" w14:textId="77777777" w:rsidR="00D415FD" w:rsidRPr="006B44DF" w:rsidRDefault="00D415FD" w:rsidP="00D415FD">
      <w:pPr>
        <w:spacing w:before="240"/>
        <w:rPr>
          <w:rFonts w:cs="Arial"/>
          <w:b/>
          <w:sz w:val="24"/>
          <w:szCs w:val="24"/>
        </w:rPr>
      </w:pPr>
    </w:p>
    <w:p w14:paraId="6C31BEFD" w14:textId="77777777" w:rsidR="00D415FD" w:rsidRDefault="00D415FD" w:rsidP="00D415FD">
      <w:pPr>
        <w:pStyle w:val="Paragraphedeliste"/>
        <w:numPr>
          <w:ilvl w:val="0"/>
          <w:numId w:val="9"/>
        </w:numPr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En quoi consiste un calcul d’un coût ?</w:t>
      </w:r>
    </w:p>
    <w:p w14:paraId="1DD3A5F7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0AFC7140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02414728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884D52B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1798E187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1A72FEA" w14:textId="77777777" w:rsidR="00D415FD" w:rsidRP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4B78E8EB" w14:textId="77777777" w:rsidR="00D415FD" w:rsidRPr="00D415FD" w:rsidRDefault="00D415FD" w:rsidP="00D415FD">
      <w:pPr>
        <w:pStyle w:val="Paragraphedeliste"/>
        <w:numPr>
          <w:ilvl w:val="0"/>
          <w:numId w:val="9"/>
        </w:numPr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Quelle est sa finalité première</w:t>
      </w:r>
      <w:r w:rsidRPr="00D415FD">
        <w:rPr>
          <w:rStyle w:val="Accentuationlgre"/>
          <w:bCs/>
          <w:sz w:val="20"/>
          <w:szCs w:val="14"/>
        </w:rPr>
        <w:t> ?</w:t>
      </w:r>
    </w:p>
    <w:p w14:paraId="02A18702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4183EF36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E6BE94E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34A6A3E7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01789791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6A2C392F" w14:textId="77777777" w:rsidR="00D415FD" w:rsidRP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788C66B2" w14:textId="77777777" w:rsidR="00D415FD" w:rsidRPr="00D415FD" w:rsidRDefault="00D415FD" w:rsidP="00D415FD">
      <w:pPr>
        <w:pStyle w:val="Paragraphedeliste"/>
        <w:numPr>
          <w:ilvl w:val="0"/>
          <w:numId w:val="9"/>
        </w:numPr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 xml:space="preserve">Quels sont les apports de ces informations pour la direction </w:t>
      </w:r>
      <w:r w:rsidRPr="00D415FD">
        <w:rPr>
          <w:rStyle w:val="Accentuationlgre"/>
          <w:bCs/>
          <w:sz w:val="20"/>
          <w:szCs w:val="14"/>
        </w:rPr>
        <w:t>?</w:t>
      </w:r>
    </w:p>
    <w:p w14:paraId="74214D53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473B4E3E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586FDBB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6C8CE97B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350C7176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028AEE1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7CCCA386" w14:textId="77777777" w:rsidR="00D415FD" w:rsidRP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3D4CA703" w14:textId="77777777" w:rsidR="00D415FD" w:rsidRPr="00D415FD" w:rsidRDefault="00D415FD" w:rsidP="00D415FD">
      <w:pPr>
        <w:pStyle w:val="Paragraphedeliste"/>
        <w:numPr>
          <w:ilvl w:val="0"/>
          <w:numId w:val="9"/>
        </w:numPr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En quoi le calcul de coûts peut aider l’entreprise à fixer ses prix de vente</w:t>
      </w:r>
      <w:r w:rsidRPr="00D415FD">
        <w:rPr>
          <w:rStyle w:val="Accentuationlgre"/>
          <w:bCs/>
          <w:sz w:val="20"/>
          <w:szCs w:val="14"/>
        </w:rPr>
        <w:t> ?</w:t>
      </w:r>
    </w:p>
    <w:p w14:paraId="0C30FA3C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6E583987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2C848944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5EE69F0F" w14:textId="77777777" w:rsid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176BF5C7" w14:textId="77777777" w:rsidR="00D415FD" w:rsidRPr="00D415FD" w:rsidRDefault="00D415FD" w:rsidP="00D415FD">
      <w:pPr>
        <w:rPr>
          <w:rStyle w:val="Accentuationlgre"/>
          <w:b w:val="0"/>
          <w:bCs/>
          <w:sz w:val="20"/>
          <w:szCs w:val="14"/>
        </w:rPr>
      </w:pPr>
    </w:p>
    <w:p w14:paraId="40AFEABE" w14:textId="65A89B6F" w:rsidR="00D415FD" w:rsidRPr="00D415FD" w:rsidRDefault="00D415FD" w:rsidP="00D415FD">
      <w:pPr>
        <w:pStyle w:val="Paragraphedeliste"/>
        <w:numPr>
          <w:ilvl w:val="0"/>
          <w:numId w:val="9"/>
        </w:numPr>
        <w:rPr>
          <w:rStyle w:val="Accentuationlgre"/>
          <w:b w:val="0"/>
          <w:bCs/>
          <w:sz w:val="20"/>
          <w:szCs w:val="14"/>
        </w:rPr>
      </w:pPr>
      <w:r w:rsidRPr="00D415FD">
        <w:rPr>
          <w:rStyle w:val="Accentuationlgre"/>
          <w:b w:val="0"/>
          <w:bCs/>
          <w:sz w:val="20"/>
          <w:szCs w:val="14"/>
        </w:rPr>
        <w:t>En quoi le calcul de coûts in</w:t>
      </w:r>
      <w:r w:rsidR="00B93956">
        <w:rPr>
          <w:rStyle w:val="Accentuationlgre"/>
          <w:b w:val="0"/>
          <w:bCs/>
          <w:sz w:val="20"/>
          <w:szCs w:val="14"/>
        </w:rPr>
        <w:t>f</w:t>
      </w:r>
      <w:r w:rsidRPr="00D415FD">
        <w:rPr>
          <w:rStyle w:val="Accentuationlgre"/>
          <w:b w:val="0"/>
          <w:bCs/>
          <w:sz w:val="20"/>
          <w:szCs w:val="14"/>
        </w:rPr>
        <w:t>luence les négociations avec les clients et les fournisseurs ?</w:t>
      </w:r>
    </w:p>
    <w:p w14:paraId="2B91A514" w14:textId="77777777" w:rsidR="00B920F1" w:rsidRPr="00D415FD" w:rsidRDefault="00B920F1" w:rsidP="00D415FD">
      <w:pPr>
        <w:rPr>
          <w:rStyle w:val="Accentuationlgre"/>
          <w:b w:val="0"/>
          <w:sz w:val="20"/>
        </w:rPr>
      </w:pPr>
    </w:p>
    <w:sectPr w:rsidR="00B920F1" w:rsidRPr="00D415FD" w:rsidSect="00653E4C">
      <w:pgSz w:w="11906" w:h="16838"/>
      <w:pgMar w:top="851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806"/>
    <w:multiLevelType w:val="hybridMultilevel"/>
    <w:tmpl w:val="644AE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42E"/>
    <w:multiLevelType w:val="hybridMultilevel"/>
    <w:tmpl w:val="731EA2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2560B"/>
    <w:multiLevelType w:val="hybridMultilevel"/>
    <w:tmpl w:val="65F6FA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E42CD"/>
    <w:multiLevelType w:val="hybridMultilevel"/>
    <w:tmpl w:val="F1EC8784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3A9B12A9"/>
    <w:multiLevelType w:val="hybridMultilevel"/>
    <w:tmpl w:val="100E32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D2B14"/>
    <w:multiLevelType w:val="hybridMultilevel"/>
    <w:tmpl w:val="B22CC6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7EE"/>
    <w:multiLevelType w:val="hybridMultilevel"/>
    <w:tmpl w:val="E9506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010A"/>
    <w:multiLevelType w:val="hybridMultilevel"/>
    <w:tmpl w:val="F412E706"/>
    <w:lvl w:ilvl="0" w:tplc="040C000F">
      <w:start w:val="1"/>
      <w:numFmt w:val="decimal"/>
      <w:lvlText w:val="%1."/>
      <w:lvlJc w:val="left"/>
      <w:pPr>
        <w:ind w:left="504" w:hanging="360"/>
      </w:pPr>
    </w:lvl>
    <w:lvl w:ilvl="1" w:tplc="040C0019" w:tentative="1">
      <w:start w:val="1"/>
      <w:numFmt w:val="lowerLetter"/>
      <w:lvlText w:val="%2."/>
      <w:lvlJc w:val="left"/>
      <w:pPr>
        <w:ind w:left="1224" w:hanging="360"/>
      </w:pPr>
    </w:lvl>
    <w:lvl w:ilvl="2" w:tplc="040C001B" w:tentative="1">
      <w:start w:val="1"/>
      <w:numFmt w:val="lowerRoman"/>
      <w:lvlText w:val="%3."/>
      <w:lvlJc w:val="right"/>
      <w:pPr>
        <w:ind w:left="1944" w:hanging="180"/>
      </w:pPr>
    </w:lvl>
    <w:lvl w:ilvl="3" w:tplc="040C000F" w:tentative="1">
      <w:start w:val="1"/>
      <w:numFmt w:val="decimal"/>
      <w:lvlText w:val="%4."/>
      <w:lvlJc w:val="left"/>
      <w:pPr>
        <w:ind w:left="2664" w:hanging="360"/>
      </w:pPr>
    </w:lvl>
    <w:lvl w:ilvl="4" w:tplc="040C0019" w:tentative="1">
      <w:start w:val="1"/>
      <w:numFmt w:val="lowerLetter"/>
      <w:lvlText w:val="%5."/>
      <w:lvlJc w:val="left"/>
      <w:pPr>
        <w:ind w:left="3384" w:hanging="360"/>
      </w:pPr>
    </w:lvl>
    <w:lvl w:ilvl="5" w:tplc="040C001B" w:tentative="1">
      <w:start w:val="1"/>
      <w:numFmt w:val="lowerRoman"/>
      <w:lvlText w:val="%6."/>
      <w:lvlJc w:val="right"/>
      <w:pPr>
        <w:ind w:left="4104" w:hanging="180"/>
      </w:pPr>
    </w:lvl>
    <w:lvl w:ilvl="6" w:tplc="040C000F" w:tentative="1">
      <w:start w:val="1"/>
      <w:numFmt w:val="decimal"/>
      <w:lvlText w:val="%7."/>
      <w:lvlJc w:val="left"/>
      <w:pPr>
        <w:ind w:left="4824" w:hanging="360"/>
      </w:pPr>
    </w:lvl>
    <w:lvl w:ilvl="7" w:tplc="040C0019" w:tentative="1">
      <w:start w:val="1"/>
      <w:numFmt w:val="lowerLetter"/>
      <w:lvlText w:val="%8."/>
      <w:lvlJc w:val="left"/>
      <w:pPr>
        <w:ind w:left="5544" w:hanging="360"/>
      </w:pPr>
    </w:lvl>
    <w:lvl w:ilvl="8" w:tplc="04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5581742E"/>
    <w:multiLevelType w:val="hybridMultilevel"/>
    <w:tmpl w:val="94CE3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6404">
    <w:abstractNumId w:val="6"/>
  </w:num>
  <w:num w:numId="2" w16cid:durableId="147484763">
    <w:abstractNumId w:val="5"/>
  </w:num>
  <w:num w:numId="3" w16cid:durableId="1750075510">
    <w:abstractNumId w:val="8"/>
  </w:num>
  <w:num w:numId="4" w16cid:durableId="507333270">
    <w:abstractNumId w:val="4"/>
  </w:num>
  <w:num w:numId="5" w16cid:durableId="1039279358">
    <w:abstractNumId w:val="1"/>
  </w:num>
  <w:num w:numId="6" w16cid:durableId="2032298683">
    <w:abstractNumId w:val="7"/>
  </w:num>
  <w:num w:numId="7" w16cid:durableId="1805000294">
    <w:abstractNumId w:val="0"/>
  </w:num>
  <w:num w:numId="8" w16cid:durableId="229122818">
    <w:abstractNumId w:val="3"/>
  </w:num>
  <w:num w:numId="9" w16cid:durableId="32652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E4"/>
    <w:rsid w:val="00007F7C"/>
    <w:rsid w:val="000756E1"/>
    <w:rsid w:val="002C4D6E"/>
    <w:rsid w:val="00653E4C"/>
    <w:rsid w:val="0079069B"/>
    <w:rsid w:val="00815FE4"/>
    <w:rsid w:val="009158BB"/>
    <w:rsid w:val="00AB1AE6"/>
    <w:rsid w:val="00B64978"/>
    <w:rsid w:val="00B920F1"/>
    <w:rsid w:val="00B93956"/>
    <w:rsid w:val="00D3533E"/>
    <w:rsid w:val="00D415FD"/>
    <w:rsid w:val="00E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E3FE"/>
  <w15:chartTrackingRefBased/>
  <w15:docId w15:val="{EB7F9D4A-8D10-49F2-A90F-248BF30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E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nhideWhenUsed/>
    <w:rsid w:val="00815F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815FE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NormalWeb">
    <w:name w:val="Normal (Web)"/>
    <w:basedOn w:val="Normal"/>
    <w:rsid w:val="00815FE4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rsid w:val="00815FE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1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815FE4"/>
    <w:pPr>
      <w:spacing w:before="120" w:after="240"/>
    </w:pPr>
    <w:rPr>
      <w:b/>
      <w:sz w:val="28"/>
      <w:szCs w:val="22"/>
    </w:rPr>
  </w:style>
  <w:style w:type="character" w:styleId="Accentuationlgre">
    <w:name w:val="Subtle Emphasis"/>
    <w:aliases w:val="Titre 111"/>
    <w:uiPriority w:val="19"/>
    <w:qFormat/>
    <w:rsid w:val="00815FE4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815FE4"/>
    <w:pPr>
      <w:ind w:left="720"/>
      <w:contextualSpacing/>
    </w:pPr>
  </w:style>
  <w:style w:type="paragraph" w:customStyle="1" w:styleId="xl37">
    <w:name w:val="xl37"/>
    <w:basedOn w:val="Normal"/>
    <w:rsid w:val="00815FE4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815FE4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815FE4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2014-07-12T22:16:00Z</dcterms:created>
  <dcterms:modified xsi:type="dcterms:W3CDTF">2024-03-31T00:04:00Z</dcterms:modified>
</cp:coreProperties>
</file>