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31" w:type="dxa"/>
        <w:shd w:val="clear" w:color="auto" w:fill="D9E2F3" w:themeFill="accent5" w:themeFillTint="33"/>
        <w:tblLayout w:type="fixed"/>
        <w:tblLook w:val="04A0" w:firstRow="1" w:lastRow="0" w:firstColumn="1" w:lastColumn="0" w:noHBand="0" w:noVBand="1"/>
      </w:tblPr>
      <w:tblGrid>
        <w:gridCol w:w="1526"/>
        <w:gridCol w:w="3827"/>
        <w:gridCol w:w="2835"/>
        <w:gridCol w:w="1843"/>
      </w:tblGrid>
      <w:tr w:rsidR="00405160" w:rsidRPr="00BC37D2" w14:paraId="063407A5" w14:textId="77777777" w:rsidTr="002B769A">
        <w:trPr>
          <w:trHeight w:val="386"/>
        </w:trPr>
        <w:tc>
          <w:tcPr>
            <w:tcW w:w="8188" w:type="dxa"/>
            <w:gridSpan w:val="3"/>
            <w:shd w:val="clear" w:color="auto" w:fill="D9E2F3" w:themeFill="accent5" w:themeFillTint="33"/>
            <w:vAlign w:val="center"/>
          </w:tcPr>
          <w:p w14:paraId="56AC560A" w14:textId="77777777" w:rsidR="00405160" w:rsidRDefault="00405160" w:rsidP="002B769A">
            <w:pPr>
              <w:spacing w:before="120"/>
              <w:jc w:val="center"/>
              <w:rPr>
                <w:b/>
                <w:color w:val="000000" w:themeColor="text1"/>
                <w:sz w:val="28"/>
              </w:rPr>
            </w:pPr>
            <w:bookmarkStart w:id="0" w:name="_Hlk163082688"/>
            <w:r>
              <w:rPr>
                <w:b/>
                <w:color w:val="000000" w:themeColor="text1"/>
                <w:sz w:val="28"/>
              </w:rPr>
              <w:t>Mission 2 – Participer au calcul des coûts et résultats</w:t>
            </w:r>
          </w:p>
          <w:p w14:paraId="2C6DB30C" w14:textId="77777777" w:rsidR="00405160" w:rsidRPr="00BC37D2" w:rsidRDefault="00405160" w:rsidP="002B769A">
            <w:pPr>
              <w:spacing w:after="120"/>
              <w:jc w:val="center"/>
              <w:rPr>
                <w:b/>
                <w:color w:val="000000" w:themeColor="text1"/>
                <w:sz w:val="28"/>
              </w:rPr>
            </w:pPr>
            <w:r>
              <w:rPr>
                <w:b/>
                <w:color w:val="000000" w:themeColor="text1"/>
                <w:sz w:val="28"/>
              </w:rPr>
              <w:t>(entrainement à l’épreuve e6)</w:t>
            </w:r>
          </w:p>
        </w:tc>
        <w:tc>
          <w:tcPr>
            <w:tcW w:w="1843" w:type="dxa"/>
            <w:shd w:val="clear" w:color="auto" w:fill="D9E2F3" w:themeFill="accent5" w:themeFillTint="33"/>
          </w:tcPr>
          <w:p w14:paraId="077A9F0A" w14:textId="77777777" w:rsidR="00405160" w:rsidRPr="0065188E" w:rsidRDefault="00405160" w:rsidP="002B769A">
            <w:pPr>
              <w:rPr>
                <w:b/>
                <w:bCs/>
                <w:color w:val="000000" w:themeColor="text1"/>
                <w:sz w:val="28"/>
              </w:rPr>
            </w:pPr>
            <w:r>
              <w:rPr>
                <w:noProof/>
              </w:rPr>
              <w:drawing>
                <wp:inline distT="0" distB="0" distL="0" distR="0" wp14:anchorId="4014D083" wp14:editId="799018B0">
                  <wp:extent cx="1018845" cy="648000"/>
                  <wp:effectExtent l="19050" t="19050" r="10160" b="19050"/>
                  <wp:docPr id="831969749" name="Image 831969749"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405160" w:rsidRPr="00BC37D2" w14:paraId="54B48508" w14:textId="77777777" w:rsidTr="002B769A">
        <w:tc>
          <w:tcPr>
            <w:tcW w:w="1526" w:type="dxa"/>
            <w:shd w:val="clear" w:color="auto" w:fill="D9E2F3" w:themeFill="accent5" w:themeFillTint="33"/>
            <w:vAlign w:val="center"/>
          </w:tcPr>
          <w:p w14:paraId="15160396" w14:textId="77777777" w:rsidR="00405160" w:rsidRPr="00BC37D2" w:rsidRDefault="00405160" w:rsidP="002B769A">
            <w:pPr>
              <w:rPr>
                <w:rFonts w:cs="Calibri"/>
                <w:b/>
                <w:bCs/>
                <w:color w:val="000000" w:themeColor="text1"/>
              </w:rPr>
            </w:pPr>
            <w:r w:rsidRPr="00BC37D2">
              <w:rPr>
                <w:rFonts w:cs="Arial"/>
                <w:b/>
                <w:color w:val="000000" w:themeColor="text1"/>
              </w:rPr>
              <w:t>Durée</w:t>
            </w:r>
            <w:r w:rsidRPr="00BC37D2">
              <w:rPr>
                <w:rFonts w:cs="Arial"/>
                <w:color w:val="000000" w:themeColor="text1"/>
              </w:rPr>
              <w:t xml:space="preserve"> : </w:t>
            </w:r>
            <w:r>
              <w:rPr>
                <w:rFonts w:cs="Arial"/>
                <w:color w:val="000000" w:themeColor="text1"/>
              </w:rPr>
              <w:t>1</w:t>
            </w:r>
            <w:r w:rsidRPr="00BC37D2">
              <w:rPr>
                <w:rFonts w:cs="Arial"/>
                <w:color w:val="000000" w:themeColor="text1"/>
              </w:rPr>
              <w:t xml:space="preserve"> h </w:t>
            </w:r>
            <w:r>
              <w:rPr>
                <w:rFonts w:cs="Arial"/>
                <w:color w:val="000000" w:themeColor="text1"/>
              </w:rPr>
              <w:t>30</w:t>
            </w:r>
          </w:p>
        </w:tc>
        <w:tc>
          <w:tcPr>
            <w:tcW w:w="3827" w:type="dxa"/>
            <w:shd w:val="clear" w:color="auto" w:fill="D9E2F3" w:themeFill="accent5" w:themeFillTint="33"/>
            <w:vAlign w:val="center"/>
          </w:tcPr>
          <w:p w14:paraId="08943F47" w14:textId="77777777" w:rsidR="00405160" w:rsidRPr="00BC37D2" w:rsidRDefault="00405160" w:rsidP="002B769A">
            <w:pPr>
              <w:jc w:val="center"/>
              <w:rPr>
                <w:rFonts w:cs="Calibri"/>
                <w:b/>
                <w:bCs/>
                <w:color w:val="000000" w:themeColor="text1"/>
              </w:rPr>
            </w:pPr>
            <w:r>
              <w:rPr>
                <w:rFonts w:cs="Calibri"/>
                <w:b/>
                <w:bCs/>
                <w:noProof/>
                <w:color w:val="000000" w:themeColor="text1"/>
              </w:rPr>
              <w:drawing>
                <wp:inline distT="0" distB="0" distL="0" distR="0" wp14:anchorId="281015BE" wp14:editId="0C1EF2F8">
                  <wp:extent cx="324000" cy="324000"/>
                  <wp:effectExtent l="0" t="0" r="0" b="0"/>
                  <wp:docPr id="544706649"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306" name="Graphique 4087530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2835" w:type="dxa"/>
            <w:shd w:val="clear" w:color="auto" w:fill="D9E2F3" w:themeFill="accent5" w:themeFillTint="33"/>
            <w:vAlign w:val="center"/>
          </w:tcPr>
          <w:p w14:paraId="3A4C3998" w14:textId="77777777" w:rsidR="00405160" w:rsidRPr="00BC37D2" w:rsidRDefault="00405160" w:rsidP="002B769A">
            <w:pPr>
              <w:jc w:val="center"/>
              <w:rPr>
                <w:rFonts w:cs="Calibri"/>
                <w:b/>
                <w:bCs/>
                <w:color w:val="000000" w:themeColor="text1"/>
              </w:rPr>
            </w:pPr>
            <w:r>
              <w:rPr>
                <w:rFonts w:cs="Calibri"/>
                <w:b/>
                <w:bCs/>
                <w:color w:val="000000" w:themeColor="text1"/>
              </w:rPr>
              <w:t>outils numériques interdits</w:t>
            </w:r>
          </w:p>
        </w:tc>
        <w:tc>
          <w:tcPr>
            <w:tcW w:w="1843" w:type="dxa"/>
            <w:shd w:val="clear" w:color="auto" w:fill="D9E2F3" w:themeFill="accent5" w:themeFillTint="33"/>
            <w:vAlign w:val="center"/>
          </w:tcPr>
          <w:p w14:paraId="194A5BE8" w14:textId="77777777" w:rsidR="00405160" w:rsidRPr="003A633E" w:rsidRDefault="00405160" w:rsidP="002B769A">
            <w:pPr>
              <w:jc w:val="center"/>
              <w:rPr>
                <w:rFonts w:cs="Arial"/>
                <w:bCs/>
                <w:color w:val="000000" w:themeColor="text1"/>
              </w:rPr>
            </w:pPr>
            <w:r w:rsidRPr="003A633E">
              <w:rPr>
                <w:rFonts w:cs="Arial"/>
                <w:bCs/>
                <w:color w:val="000000" w:themeColor="text1"/>
              </w:rPr>
              <w:t xml:space="preserve">Source </w:t>
            </w:r>
          </w:p>
        </w:tc>
      </w:tr>
    </w:tbl>
    <w:p w14:paraId="2C607520" w14:textId="77777777" w:rsidR="00405160" w:rsidRDefault="00405160" w:rsidP="00405160">
      <w:pPr>
        <w:spacing w:line="360" w:lineRule="auto"/>
        <w:rPr>
          <w:rFonts w:cs="Arial"/>
        </w:rPr>
      </w:pPr>
    </w:p>
    <w:p w14:paraId="0B7A11B6" w14:textId="77777777" w:rsidR="00405160" w:rsidRDefault="00405160" w:rsidP="00405160">
      <w:pPr>
        <w:spacing w:line="360" w:lineRule="auto"/>
        <w:rPr>
          <w:rFonts w:cs="Arial"/>
          <w:b/>
          <w:bCs/>
          <w:sz w:val="24"/>
          <w:szCs w:val="24"/>
        </w:rPr>
      </w:pPr>
      <w:r w:rsidRPr="00466D17">
        <w:rPr>
          <w:rFonts w:cs="Arial"/>
          <w:b/>
          <w:bCs/>
          <w:sz w:val="24"/>
          <w:szCs w:val="24"/>
        </w:rPr>
        <w:t>Contexte professionnel</w:t>
      </w:r>
    </w:p>
    <w:bookmarkEnd w:id="0"/>
    <w:p w14:paraId="650638B9" w14:textId="77777777" w:rsidR="00405160" w:rsidRPr="00713271" w:rsidRDefault="00405160" w:rsidP="00405160">
      <w:pPr>
        <w:autoSpaceDE w:val="0"/>
        <w:autoSpaceDN w:val="0"/>
        <w:adjustRightInd w:val="0"/>
        <w:spacing w:before="120"/>
        <w:rPr>
          <w:color w:val="000000"/>
        </w:rPr>
      </w:pPr>
      <w:r>
        <w:rPr>
          <w:color w:val="000000"/>
        </w:rPr>
        <w:t xml:space="preserve">La société </w:t>
      </w:r>
      <w:r w:rsidRPr="00713271">
        <w:rPr>
          <w:color w:val="000000"/>
        </w:rPr>
        <w:t xml:space="preserve">Charvin SA est une entreprise de maçonnerie et de travaux publics </w:t>
      </w:r>
      <w:r>
        <w:rPr>
          <w:color w:val="000000"/>
        </w:rPr>
        <w:t>dirigée</w:t>
      </w:r>
      <w:r w:rsidRPr="00713271">
        <w:rPr>
          <w:color w:val="000000"/>
        </w:rPr>
        <w:t xml:space="preserve"> par </w:t>
      </w:r>
      <w:r w:rsidRPr="00713271">
        <w:rPr>
          <w:b/>
          <w:bCs/>
          <w:color w:val="000000"/>
        </w:rPr>
        <w:t>M. Charvin</w:t>
      </w:r>
      <w:r w:rsidRPr="00713271">
        <w:rPr>
          <w:color w:val="000000"/>
        </w:rPr>
        <w:t xml:space="preserve">. Elle est spécialisée dans les travaux de maçonnerie et de terrassement pour les particuliers ou des collectivités publiques : </w:t>
      </w:r>
    </w:p>
    <w:p w14:paraId="3ABB0798" w14:textId="77777777" w:rsidR="00405160" w:rsidRPr="00D87A01" w:rsidRDefault="00405160" w:rsidP="00405160">
      <w:pPr>
        <w:pStyle w:val="Paragraphedeliste"/>
        <w:numPr>
          <w:ilvl w:val="0"/>
          <w:numId w:val="4"/>
        </w:numPr>
        <w:tabs>
          <w:tab w:val="clear" w:pos="144"/>
          <w:tab w:val="clear" w:pos="864"/>
          <w:tab w:val="clear" w:pos="1584"/>
          <w:tab w:val="clear" w:pos="2304"/>
          <w:tab w:val="clear" w:pos="3024"/>
          <w:tab w:val="clear" w:pos="3744"/>
          <w:tab w:val="clear" w:pos="4464"/>
          <w:tab w:val="clear" w:pos="5184"/>
          <w:tab w:val="clear" w:pos="5904"/>
          <w:tab w:val="clear" w:pos="6624"/>
        </w:tabs>
        <w:autoSpaceDE w:val="0"/>
        <w:autoSpaceDN w:val="0"/>
        <w:adjustRightInd w:val="0"/>
        <w:spacing w:before="120" w:after="160" w:line="259" w:lineRule="auto"/>
        <w:ind w:left="284" w:hanging="284"/>
        <w:jc w:val="left"/>
        <w:rPr>
          <w:color w:val="000000"/>
        </w:rPr>
      </w:pPr>
      <w:r w:rsidRPr="00D87A01">
        <w:rPr>
          <w:b/>
          <w:color w:val="000000"/>
        </w:rPr>
        <w:t>Maçonnerie </w:t>
      </w:r>
      <w:r w:rsidRPr="00D87A01">
        <w:rPr>
          <w:color w:val="000000"/>
        </w:rPr>
        <w:t>: bâtiments, murs, maison, petit immeubles, garage, aménagements de places….</w:t>
      </w:r>
    </w:p>
    <w:p w14:paraId="341F2BC2" w14:textId="77777777" w:rsidR="00405160" w:rsidRPr="00D87A01" w:rsidRDefault="00405160" w:rsidP="00405160">
      <w:pPr>
        <w:pStyle w:val="Paragraphedeliste"/>
        <w:numPr>
          <w:ilvl w:val="0"/>
          <w:numId w:val="4"/>
        </w:numPr>
        <w:tabs>
          <w:tab w:val="clear" w:pos="144"/>
          <w:tab w:val="clear" w:pos="864"/>
          <w:tab w:val="clear" w:pos="1584"/>
          <w:tab w:val="clear" w:pos="2304"/>
          <w:tab w:val="clear" w:pos="3024"/>
          <w:tab w:val="clear" w:pos="3744"/>
          <w:tab w:val="clear" w:pos="4464"/>
          <w:tab w:val="clear" w:pos="5184"/>
          <w:tab w:val="clear" w:pos="5904"/>
          <w:tab w:val="clear" w:pos="6624"/>
        </w:tabs>
        <w:autoSpaceDE w:val="0"/>
        <w:autoSpaceDN w:val="0"/>
        <w:adjustRightInd w:val="0"/>
        <w:spacing w:before="120" w:after="160" w:line="259" w:lineRule="auto"/>
        <w:ind w:left="284" w:hanging="284"/>
        <w:jc w:val="left"/>
        <w:rPr>
          <w:color w:val="000000"/>
        </w:rPr>
      </w:pPr>
      <w:r>
        <w:rPr>
          <w:noProof/>
          <w:color w:val="000000"/>
        </w:rPr>
        <w:drawing>
          <wp:anchor distT="0" distB="0" distL="114300" distR="114300" simplePos="0" relativeHeight="251659264" behindDoc="0" locked="0" layoutInCell="1" allowOverlap="1" wp14:anchorId="1A5BB883" wp14:editId="4BC237B4">
            <wp:simplePos x="0" y="0"/>
            <wp:positionH relativeFrom="column">
              <wp:posOffset>4866640</wp:posOffset>
            </wp:positionH>
            <wp:positionV relativeFrom="paragraph">
              <wp:posOffset>379095</wp:posOffset>
            </wp:positionV>
            <wp:extent cx="1485900" cy="1477010"/>
            <wp:effectExtent l="0" t="0" r="0" b="8890"/>
            <wp:wrapSquare wrapText="bothSides"/>
            <wp:docPr id="1431194628" name="Image 1" descr="Une image contenant herbe, nuage, montagn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94628" name="Image 1" descr="Une image contenant herbe, nuage, montagne, plein ai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77010"/>
                    </a:xfrm>
                    <a:prstGeom prst="rect">
                      <a:avLst/>
                    </a:prstGeom>
                  </pic:spPr>
                </pic:pic>
              </a:graphicData>
            </a:graphic>
            <wp14:sizeRelH relativeFrom="margin">
              <wp14:pctWidth>0</wp14:pctWidth>
            </wp14:sizeRelH>
            <wp14:sizeRelV relativeFrom="margin">
              <wp14:pctHeight>0</wp14:pctHeight>
            </wp14:sizeRelV>
          </wp:anchor>
        </w:drawing>
      </w:r>
      <w:r w:rsidRPr="00D87A01">
        <w:rPr>
          <w:b/>
          <w:color w:val="000000"/>
        </w:rPr>
        <w:t>Terrassement et travaux publics</w:t>
      </w:r>
      <w:r w:rsidRPr="00D87A01">
        <w:rPr>
          <w:color w:val="000000"/>
        </w:rPr>
        <w:t xml:space="preserve"> : terrassements, route d’accès, adduction d’eau, raccordement égout, </w:t>
      </w:r>
      <w:r>
        <w:rPr>
          <w:color w:val="000000"/>
        </w:rPr>
        <w:t xml:space="preserve">y compris en zones difficiles de montagne, </w:t>
      </w:r>
      <w:r w:rsidRPr="00D87A01">
        <w:rPr>
          <w:color w:val="000000"/>
        </w:rPr>
        <w:t>etc.</w:t>
      </w:r>
    </w:p>
    <w:p w14:paraId="2ADE8DA4" w14:textId="77777777" w:rsidR="00405160" w:rsidRDefault="00405160" w:rsidP="00405160">
      <w:pPr>
        <w:spacing w:before="120"/>
      </w:pPr>
      <w:r>
        <w:t xml:space="preserve">La société vient d’être contactée pour construire un réservoir d’eau sur la commune de La Plagne en Savoie. Ce réservoir circulaire, dont la société s’est fait une spécialité, serait de type mixte alliant acier et béton. </w:t>
      </w:r>
    </w:p>
    <w:p w14:paraId="36EC9017" w14:textId="77777777" w:rsidR="00405160" w:rsidRDefault="00405160" w:rsidP="00405160">
      <w:pPr>
        <w:spacing w:before="120"/>
      </w:pPr>
      <w:r>
        <w:t xml:space="preserve">Au regard des réservoirs construits précédemment et en tenant compte des coûts de déplacement induits par l’emplacement, le devis prévisionnel est fixé à  550 000 € HT. </w:t>
      </w:r>
    </w:p>
    <w:p w14:paraId="2C608F15" w14:textId="77777777" w:rsidR="00405160" w:rsidRDefault="00405160" w:rsidP="00405160">
      <w:pPr>
        <w:spacing w:before="120"/>
      </w:pPr>
      <w:r>
        <w:t xml:space="preserve">Émeline Charvin qui tient les comptes de la société est chargée de contrôler la validité du devis en calculant le prix de revient prévisionnel du chantier, sachant que l’entreprise projette de réaliser sur ce type de chantier une marge de 25 % sur le coût de revient. </w:t>
      </w:r>
    </w:p>
    <w:p w14:paraId="0F5DF279" w14:textId="5E0FE9DF" w:rsidR="00405160" w:rsidRDefault="00405160" w:rsidP="00405160">
      <w:pPr>
        <w:spacing w:before="120"/>
      </w:pPr>
      <w:r>
        <w:t xml:space="preserve">Émeline vous associe à ce travail en vous demandant de réaliser le calcul du coût de revient en parallèle de </w:t>
      </w:r>
      <w:r w:rsidR="00132D23">
        <w:t>son</w:t>
      </w:r>
      <w:r>
        <w:t xml:space="preserve"> travail afin de voir si vos résultats seront conformes aux siens.</w:t>
      </w:r>
    </w:p>
    <w:p w14:paraId="222BB745" w14:textId="77777777" w:rsidR="00405160" w:rsidRDefault="00405160" w:rsidP="00405160">
      <w:pPr>
        <w:spacing w:line="360" w:lineRule="auto"/>
        <w:rPr>
          <w:rFonts w:cs="Arial"/>
        </w:rPr>
      </w:pPr>
    </w:p>
    <w:p w14:paraId="02228519" w14:textId="77777777" w:rsidR="00405160" w:rsidRPr="00466D17" w:rsidRDefault="00405160" w:rsidP="00405160">
      <w:pPr>
        <w:spacing w:line="360" w:lineRule="auto"/>
        <w:rPr>
          <w:rFonts w:cs="Arial"/>
          <w:b/>
          <w:bCs/>
          <w:sz w:val="24"/>
          <w:szCs w:val="24"/>
        </w:rPr>
      </w:pPr>
      <w:r w:rsidRPr="00466D17">
        <w:rPr>
          <w:rFonts w:cs="Arial"/>
          <w:b/>
          <w:bCs/>
          <w:sz w:val="24"/>
          <w:szCs w:val="24"/>
        </w:rPr>
        <w:t>Travail à faire</w:t>
      </w:r>
    </w:p>
    <w:p w14:paraId="0158B7F3" w14:textId="77777777" w:rsidR="00405160" w:rsidRDefault="00405160" w:rsidP="00405160">
      <w:pPr>
        <w:pStyle w:val="Paragraphedeliste"/>
        <w:numPr>
          <w:ilvl w:val="0"/>
          <w:numId w:val="3"/>
        </w:numPr>
      </w:pPr>
      <w:r>
        <w:t>Calculez les couts d’unité d’œuvre de la répartition des charges indirectes.</w:t>
      </w:r>
    </w:p>
    <w:p w14:paraId="43958AAB" w14:textId="77777777" w:rsidR="00405160" w:rsidRDefault="00405160" w:rsidP="00405160">
      <w:pPr>
        <w:pStyle w:val="Paragraphedeliste"/>
        <w:numPr>
          <w:ilvl w:val="0"/>
          <w:numId w:val="3"/>
        </w:numPr>
      </w:pPr>
      <w:r>
        <w:t>Calculez le coût de revient prévisionnel du réservoir situé à La Plagne.</w:t>
      </w:r>
    </w:p>
    <w:p w14:paraId="5AF5A518" w14:textId="77777777" w:rsidR="00405160" w:rsidRDefault="00405160" w:rsidP="00405160">
      <w:pPr>
        <w:pStyle w:val="Paragraphedeliste"/>
        <w:numPr>
          <w:ilvl w:val="0"/>
          <w:numId w:val="3"/>
        </w:numPr>
      </w:pPr>
      <w:r>
        <w:t>Analysez la pertinence du prix envisagé pour ce chantier.</w:t>
      </w:r>
    </w:p>
    <w:p w14:paraId="1CCB74CB" w14:textId="77777777" w:rsidR="00405160" w:rsidRDefault="00405160" w:rsidP="00405160"/>
    <w:p w14:paraId="444C58E0" w14:textId="77777777" w:rsidR="00405160" w:rsidRDefault="00405160" w:rsidP="00405160"/>
    <w:p w14:paraId="3FFA6E01" w14:textId="77777777" w:rsidR="00405160" w:rsidRPr="00466D17" w:rsidRDefault="00405160" w:rsidP="00405160">
      <w:pPr>
        <w:rPr>
          <w:rFonts w:cs="Arial"/>
          <w:b/>
          <w:sz w:val="24"/>
          <w:szCs w:val="24"/>
        </w:rPr>
      </w:pPr>
      <w:r w:rsidRPr="00466D17">
        <w:rPr>
          <w:rFonts w:cs="Arial"/>
          <w:b/>
          <w:color w:val="FFFFFF" w:themeColor="background1"/>
          <w:sz w:val="24"/>
          <w:szCs w:val="24"/>
          <w:highlight w:val="red"/>
        </w:rPr>
        <w:t>Doc.</w:t>
      </w:r>
      <w:r>
        <w:rPr>
          <w:rFonts w:cs="Arial"/>
          <w:b/>
          <w:color w:val="FFFFFF" w:themeColor="background1"/>
          <w:sz w:val="24"/>
          <w:szCs w:val="24"/>
          <w:highlight w:val="red"/>
        </w:rPr>
        <w:t xml:space="preserve"> 1</w:t>
      </w:r>
      <w:r w:rsidRPr="00466D17">
        <w:rPr>
          <w:rFonts w:cs="Arial"/>
          <w:b/>
          <w:color w:val="FFFFFF" w:themeColor="background1"/>
          <w:sz w:val="24"/>
          <w:szCs w:val="24"/>
          <w:highlight w:val="red"/>
        </w:rPr>
        <w:t xml:space="preserve"> </w:t>
      </w:r>
      <w:r w:rsidRPr="00466D17">
        <w:rPr>
          <w:rFonts w:cs="Arial"/>
          <w:b/>
          <w:color w:val="FFFFFF" w:themeColor="background1"/>
          <w:sz w:val="24"/>
          <w:szCs w:val="24"/>
        </w:rPr>
        <w:t xml:space="preserve"> </w:t>
      </w:r>
      <w:r>
        <w:rPr>
          <w:rFonts w:cs="Arial"/>
          <w:b/>
          <w:sz w:val="24"/>
          <w:szCs w:val="24"/>
        </w:rPr>
        <w:t>Matières premières nécessaires à la construction d’un réservoir en béton armée</w:t>
      </w:r>
    </w:p>
    <w:p w14:paraId="055AF409" w14:textId="77777777" w:rsidR="00405160" w:rsidRPr="00B11991" w:rsidRDefault="00405160" w:rsidP="00405160">
      <w:pPr>
        <w:spacing w:before="120" w:after="120"/>
      </w:pPr>
      <w:r w:rsidRPr="00B11991">
        <w:t>La construction d'un réservoir d'eau en béton armé nécessite plusieurs matières premières clés pour assurer sa solidité, sa durabilité et son étanchéité. Voici les principales matières premières nécessaires :</w:t>
      </w:r>
    </w:p>
    <w:p w14:paraId="0D509E51" w14:textId="77777777" w:rsidR="00405160" w:rsidRPr="00B11991" w:rsidRDefault="00405160" w:rsidP="00405160">
      <w:pPr>
        <w:pStyle w:val="Paragraphedeliste"/>
        <w:numPr>
          <w:ilvl w:val="0"/>
          <w:numId w:val="5"/>
        </w:numPr>
      </w:pPr>
      <w:r w:rsidRPr="00B11991">
        <w:rPr>
          <w:b/>
          <w:bCs/>
          <w:bdr w:val="single" w:sz="2" w:space="0" w:color="E3E3E3" w:frame="1"/>
        </w:rPr>
        <w:t>Ciment</w:t>
      </w:r>
      <w:r w:rsidRPr="00B11991">
        <w:t xml:space="preserve"> : Le ciment est le liant principal dans le béton. Il réagit avec l'eau pour former une pâte qui durcit, liant ainsi les autres composants ensemble.</w:t>
      </w:r>
    </w:p>
    <w:p w14:paraId="68D640DF" w14:textId="77777777" w:rsidR="00405160" w:rsidRPr="00B11991" w:rsidRDefault="00405160" w:rsidP="00405160">
      <w:pPr>
        <w:pStyle w:val="Paragraphedeliste"/>
        <w:numPr>
          <w:ilvl w:val="0"/>
          <w:numId w:val="5"/>
        </w:numPr>
      </w:pPr>
      <w:r w:rsidRPr="00B11991">
        <w:rPr>
          <w:b/>
          <w:bCs/>
          <w:bdr w:val="single" w:sz="2" w:space="0" w:color="E3E3E3" w:frame="1"/>
        </w:rPr>
        <w:t>Sable</w:t>
      </w:r>
      <w:r w:rsidRPr="00B11991">
        <w:t xml:space="preserve"> : Utilisé comme agrégat fin, le sable contribue à la compacité et à la résistance du béton.</w:t>
      </w:r>
    </w:p>
    <w:p w14:paraId="7E8394BB" w14:textId="77777777" w:rsidR="00405160" w:rsidRPr="00B11991" w:rsidRDefault="00405160" w:rsidP="00405160">
      <w:pPr>
        <w:pStyle w:val="Paragraphedeliste"/>
        <w:numPr>
          <w:ilvl w:val="0"/>
          <w:numId w:val="5"/>
        </w:numPr>
      </w:pPr>
      <w:r w:rsidRPr="00B11991">
        <w:rPr>
          <w:b/>
          <w:bCs/>
          <w:bdr w:val="single" w:sz="2" w:space="0" w:color="E3E3E3" w:frame="1"/>
        </w:rPr>
        <w:t>Graviers ou pierres concassées</w:t>
      </w:r>
      <w:r w:rsidRPr="00B11991">
        <w:t xml:space="preserve"> : Ces agrégats plus gros renforcent le béton, en augmentant sa résistance aux compressions et en réduisant le risque de fissuration.</w:t>
      </w:r>
    </w:p>
    <w:p w14:paraId="18EDD574" w14:textId="77777777" w:rsidR="00405160" w:rsidRPr="00B11991" w:rsidRDefault="00405160" w:rsidP="00405160">
      <w:pPr>
        <w:pStyle w:val="Paragraphedeliste"/>
        <w:numPr>
          <w:ilvl w:val="0"/>
          <w:numId w:val="5"/>
        </w:numPr>
      </w:pPr>
      <w:r w:rsidRPr="00B11991">
        <w:rPr>
          <w:b/>
          <w:bCs/>
          <w:bdr w:val="single" w:sz="2" w:space="0" w:color="E3E3E3" w:frame="1"/>
        </w:rPr>
        <w:t>Eau</w:t>
      </w:r>
      <w:r w:rsidRPr="00B11991">
        <w:t xml:space="preserve"> : L'eau réagit chimiquement avec le ciment pour activer le processus d'hydratation, ce qui permet au béton de durcir. La quantité d'eau est critique : trop d'eau affaiblit le béton, tandis que trop peu empêche la réaction complète du ciment.</w:t>
      </w:r>
    </w:p>
    <w:p w14:paraId="77227F01" w14:textId="77777777" w:rsidR="00405160" w:rsidRPr="00B11991" w:rsidRDefault="00405160" w:rsidP="00405160">
      <w:pPr>
        <w:pStyle w:val="Paragraphedeliste"/>
        <w:numPr>
          <w:ilvl w:val="0"/>
          <w:numId w:val="5"/>
        </w:numPr>
      </w:pPr>
      <w:r w:rsidRPr="00B11991">
        <w:rPr>
          <w:b/>
          <w:bCs/>
          <w:bdr w:val="single" w:sz="2" w:space="0" w:color="E3E3E3" w:frame="1"/>
        </w:rPr>
        <w:t>Acier pour le renforcement</w:t>
      </w:r>
      <w:r w:rsidRPr="00B11991">
        <w:t xml:space="preserve"> : Le béton armé contient des barres d'acier (armatures) ou des treillis soudés pour augmenter sa résistance à la traction. Le béton est très résistant à la compression, mais moins à la traction. L'acier permet de compenser cette faiblesse.</w:t>
      </w:r>
    </w:p>
    <w:p w14:paraId="016F4E97" w14:textId="77777777" w:rsidR="00405160" w:rsidRPr="00B11991" w:rsidRDefault="00405160" w:rsidP="00405160">
      <w:pPr>
        <w:pStyle w:val="Paragraphedeliste"/>
        <w:numPr>
          <w:ilvl w:val="0"/>
          <w:numId w:val="5"/>
        </w:numPr>
      </w:pPr>
      <w:r w:rsidRPr="00B11991">
        <w:rPr>
          <w:b/>
          <w:bCs/>
          <w:bdr w:val="single" w:sz="2" w:space="0" w:color="E3E3E3" w:frame="1"/>
        </w:rPr>
        <w:t>Adjuvants</w:t>
      </w:r>
      <w:r w:rsidRPr="00B11991">
        <w:t xml:space="preserve"> : Les adjuvants sont des additifs utilisés pour modifier les propriétés du béton frais ou durci. Ils peuvent améliorer la maniabilité, accélérer ou ralentir le temps de prise, augmenter la résistance ou encore améliorer l'étanchéité.</w:t>
      </w:r>
    </w:p>
    <w:p w14:paraId="2626A8D6" w14:textId="77777777" w:rsidR="00405160" w:rsidRPr="00B11991" w:rsidRDefault="00405160" w:rsidP="00405160">
      <w:pPr>
        <w:pStyle w:val="Paragraphedeliste"/>
        <w:numPr>
          <w:ilvl w:val="0"/>
          <w:numId w:val="5"/>
        </w:numPr>
      </w:pPr>
      <w:r w:rsidRPr="00B11991">
        <w:rPr>
          <w:b/>
          <w:bCs/>
          <w:bdr w:val="single" w:sz="2" w:space="0" w:color="E3E3E3" w:frame="1"/>
        </w:rPr>
        <w:t>Produits d'étanchéité</w:t>
      </w:r>
      <w:r w:rsidRPr="00B11991">
        <w:t xml:space="preserve"> : Pour les réservoirs d'eau, des revêtements et additifs spécifiques peuvent être nécessaires pour assurer l'étanchéité du béton et éviter la contamination de l'eau.</w:t>
      </w:r>
    </w:p>
    <w:p w14:paraId="3427D324" w14:textId="77777777" w:rsidR="00405160" w:rsidRDefault="00405160" w:rsidP="00405160">
      <w:pPr>
        <w:spacing w:before="120"/>
      </w:pPr>
      <w:r w:rsidRPr="00B11991">
        <w:t>Ces matériaux doivent être sélectionnés et dosés avec précision pour atteindre les propriétés désirées du béton armé, adaptées à l'usage spécifique d'un réservoir d'eau.</w:t>
      </w:r>
    </w:p>
    <w:p w14:paraId="6F0EFDE1" w14:textId="77777777" w:rsidR="00405160" w:rsidRDefault="00405160" w:rsidP="00405160">
      <w:pPr>
        <w:spacing w:before="120"/>
      </w:pPr>
    </w:p>
    <w:p w14:paraId="6E79EAF9" w14:textId="77777777" w:rsidR="00405160" w:rsidRPr="00B11991" w:rsidRDefault="00405160" w:rsidP="00405160">
      <w:pPr>
        <w:spacing w:before="120"/>
      </w:pPr>
    </w:p>
    <w:p w14:paraId="76DBD04C" w14:textId="77777777" w:rsidR="00405160" w:rsidRPr="00B11991" w:rsidRDefault="00405160" w:rsidP="00405160">
      <w:pPr>
        <w:pBdr>
          <w:bottom w:val="single" w:sz="6" w:space="1" w:color="auto"/>
        </w:pBdr>
        <w:tabs>
          <w:tab w:val="clear" w:pos="144"/>
          <w:tab w:val="clear" w:pos="864"/>
          <w:tab w:val="clear" w:pos="1584"/>
          <w:tab w:val="clear" w:pos="2304"/>
          <w:tab w:val="clear" w:pos="3024"/>
          <w:tab w:val="clear" w:pos="3744"/>
          <w:tab w:val="clear" w:pos="4464"/>
          <w:tab w:val="clear" w:pos="5184"/>
          <w:tab w:val="clear" w:pos="5904"/>
          <w:tab w:val="clear" w:pos="6624"/>
        </w:tabs>
        <w:jc w:val="center"/>
        <w:rPr>
          <w:rFonts w:cs="Arial"/>
          <w:vanish/>
          <w:sz w:val="16"/>
          <w:szCs w:val="16"/>
        </w:rPr>
      </w:pPr>
      <w:r w:rsidRPr="00B11991">
        <w:rPr>
          <w:rFonts w:cs="Arial"/>
          <w:vanish/>
          <w:sz w:val="16"/>
          <w:szCs w:val="16"/>
        </w:rPr>
        <w:t>Haut du formulaire</w:t>
      </w:r>
    </w:p>
    <w:p w14:paraId="69D2EF5A" w14:textId="77777777" w:rsidR="00405160" w:rsidRDefault="00405160" w:rsidP="00405160"/>
    <w:p w14:paraId="5C353BF7" w14:textId="1606907A" w:rsidR="00405160" w:rsidRPr="00466D17" w:rsidRDefault="00405160" w:rsidP="00405160">
      <w:pPr>
        <w:rPr>
          <w:rFonts w:cs="Arial"/>
          <w:b/>
          <w:sz w:val="24"/>
          <w:szCs w:val="24"/>
        </w:rPr>
      </w:pPr>
      <w:r w:rsidRPr="00466D17">
        <w:rPr>
          <w:rFonts w:cs="Arial"/>
          <w:b/>
          <w:color w:val="FFFFFF" w:themeColor="background1"/>
          <w:sz w:val="24"/>
          <w:szCs w:val="24"/>
          <w:highlight w:val="red"/>
        </w:rPr>
        <w:lastRenderedPageBreak/>
        <w:t>Doc.</w:t>
      </w:r>
      <w:r>
        <w:rPr>
          <w:rFonts w:cs="Arial"/>
          <w:b/>
          <w:color w:val="FFFFFF" w:themeColor="background1"/>
          <w:sz w:val="24"/>
          <w:szCs w:val="24"/>
          <w:highlight w:val="red"/>
        </w:rPr>
        <w:t xml:space="preserve"> 2</w:t>
      </w:r>
      <w:r w:rsidRPr="00466D17">
        <w:rPr>
          <w:rFonts w:cs="Arial"/>
          <w:b/>
          <w:color w:val="FFFFFF" w:themeColor="background1"/>
          <w:sz w:val="24"/>
          <w:szCs w:val="24"/>
          <w:highlight w:val="red"/>
        </w:rPr>
        <w:t xml:space="preserve"> </w:t>
      </w:r>
      <w:r w:rsidRPr="00466D17">
        <w:rPr>
          <w:rFonts w:cs="Arial"/>
          <w:b/>
          <w:color w:val="FFFFFF" w:themeColor="background1"/>
          <w:sz w:val="24"/>
          <w:szCs w:val="24"/>
        </w:rPr>
        <w:t xml:space="preserve"> </w:t>
      </w:r>
      <w:r w:rsidRPr="00466D17">
        <w:rPr>
          <w:rFonts w:cs="Arial"/>
          <w:b/>
          <w:sz w:val="24"/>
          <w:szCs w:val="24"/>
        </w:rPr>
        <w:t xml:space="preserve">Informations communiquées par </w:t>
      </w:r>
      <w:r>
        <w:rPr>
          <w:rFonts w:cs="Arial"/>
          <w:b/>
          <w:sz w:val="24"/>
          <w:szCs w:val="24"/>
        </w:rPr>
        <w:t>Émeline Charvin</w:t>
      </w:r>
    </w:p>
    <w:p w14:paraId="014A5EA2" w14:textId="77777777" w:rsidR="00405160" w:rsidRDefault="00405160" w:rsidP="00405160">
      <w:pPr>
        <w:rPr>
          <w:rFonts w:cs="Arial"/>
          <w:b/>
        </w:rPr>
      </w:pPr>
    </w:p>
    <w:p w14:paraId="1D1D0F8C" w14:textId="77777777" w:rsidR="00405160" w:rsidRPr="00333A77" w:rsidRDefault="00405160" w:rsidP="00405160">
      <w:pPr>
        <w:pStyle w:val="Paragraphedeliste"/>
        <w:spacing w:line="360" w:lineRule="auto"/>
        <w:ind w:left="0"/>
        <w:rPr>
          <w:rFonts w:cs="Arial"/>
          <w:b/>
          <w:bCs/>
          <w:sz w:val="22"/>
          <w:szCs w:val="22"/>
        </w:rPr>
      </w:pPr>
      <w:r w:rsidRPr="00333A77">
        <w:rPr>
          <w:rFonts w:cs="Arial"/>
          <w:b/>
          <w:bCs/>
          <w:sz w:val="22"/>
          <w:szCs w:val="22"/>
        </w:rPr>
        <w:t>Charges directes affectées au coût de la construction du réservoir</w:t>
      </w:r>
    </w:p>
    <w:p w14:paraId="7EEA2527" w14:textId="77777777" w:rsidR="00405160" w:rsidRPr="00C5161F" w:rsidRDefault="00405160" w:rsidP="00405160">
      <w:pPr>
        <w:pStyle w:val="Paragraphedeliste"/>
        <w:ind w:left="0"/>
        <w:rPr>
          <w:rFonts w:cs="Arial"/>
          <w:b/>
        </w:rPr>
      </w:pPr>
      <w:r w:rsidRPr="00C5161F">
        <w:rPr>
          <w:rFonts w:cs="Arial"/>
          <w:b/>
        </w:rPr>
        <w:t>Matières premières </w:t>
      </w:r>
      <w:r>
        <w:rPr>
          <w:rFonts w:cs="Arial"/>
          <w:b/>
        </w:rPr>
        <w:t xml:space="preserve">utilisées </w:t>
      </w:r>
      <w:r w:rsidRPr="00C5161F">
        <w:rPr>
          <w:rFonts w:cs="Arial"/>
          <w:b/>
        </w:rPr>
        <w:t>:</w:t>
      </w:r>
    </w:p>
    <w:p w14:paraId="77A056D1" w14:textId="77777777" w:rsidR="00405160" w:rsidRDefault="00405160" w:rsidP="00405160">
      <w:pPr>
        <w:pStyle w:val="Paragraphedeliste"/>
        <w:numPr>
          <w:ilvl w:val="0"/>
          <w:numId w:val="6"/>
        </w:numPr>
        <w:tabs>
          <w:tab w:val="clear" w:pos="144"/>
          <w:tab w:val="clear" w:pos="864"/>
          <w:tab w:val="clear" w:pos="1584"/>
          <w:tab w:val="clear" w:pos="2304"/>
          <w:tab w:val="clear" w:pos="3024"/>
          <w:tab w:val="clear" w:pos="3744"/>
          <w:tab w:val="clear" w:pos="4464"/>
          <w:tab w:val="clear" w:pos="5184"/>
          <w:tab w:val="clear" w:pos="5904"/>
          <w:tab w:val="clear" w:pos="6624"/>
        </w:tabs>
        <w:ind w:left="284"/>
        <w:rPr>
          <w:rFonts w:cs="Arial"/>
        </w:rPr>
      </w:pPr>
      <w:r>
        <w:rPr>
          <w:rFonts w:cs="Arial"/>
        </w:rPr>
        <w:t>Acier et treillis soudés : 200 tonnes à 750 € HT la tonne.</w:t>
      </w:r>
    </w:p>
    <w:p w14:paraId="5D2F8C15" w14:textId="77777777" w:rsidR="00405160" w:rsidRPr="001B3063" w:rsidRDefault="00405160" w:rsidP="00405160">
      <w:pPr>
        <w:pStyle w:val="Paragraphedeliste"/>
        <w:numPr>
          <w:ilvl w:val="0"/>
          <w:numId w:val="6"/>
        </w:numPr>
        <w:tabs>
          <w:tab w:val="clear" w:pos="144"/>
          <w:tab w:val="clear" w:pos="864"/>
          <w:tab w:val="clear" w:pos="1584"/>
          <w:tab w:val="clear" w:pos="2304"/>
          <w:tab w:val="clear" w:pos="3024"/>
          <w:tab w:val="clear" w:pos="3744"/>
          <w:tab w:val="clear" w:pos="4464"/>
          <w:tab w:val="clear" w:pos="5184"/>
          <w:tab w:val="clear" w:pos="5904"/>
          <w:tab w:val="clear" w:pos="6624"/>
        </w:tabs>
        <w:ind w:left="284"/>
        <w:rPr>
          <w:rFonts w:cs="Arial"/>
        </w:rPr>
      </w:pPr>
      <w:r w:rsidRPr="001B3063">
        <w:rPr>
          <w:rFonts w:cs="Arial"/>
        </w:rPr>
        <w:t xml:space="preserve">Béton livré : </w:t>
      </w:r>
      <w:r>
        <w:rPr>
          <w:rFonts w:cs="Arial"/>
        </w:rPr>
        <w:t>1 1</w:t>
      </w:r>
      <w:r w:rsidRPr="001B3063">
        <w:rPr>
          <w:rFonts w:cs="Arial"/>
        </w:rPr>
        <w:t xml:space="preserve">00 </w:t>
      </w:r>
      <w:r>
        <w:rPr>
          <w:rFonts w:cs="Arial"/>
        </w:rPr>
        <w:t>tonnes</w:t>
      </w:r>
      <w:r w:rsidRPr="001B3063">
        <w:rPr>
          <w:rFonts w:cs="Arial"/>
        </w:rPr>
        <w:t xml:space="preserve"> à </w:t>
      </w:r>
      <w:r>
        <w:rPr>
          <w:rFonts w:cs="Arial"/>
        </w:rPr>
        <w:t>62</w:t>
      </w:r>
      <w:r w:rsidRPr="001B3063">
        <w:rPr>
          <w:rFonts w:cs="Arial"/>
        </w:rPr>
        <w:t xml:space="preserve"> € HT </w:t>
      </w:r>
      <w:r>
        <w:rPr>
          <w:rFonts w:cs="Arial"/>
        </w:rPr>
        <w:t>la tonne</w:t>
      </w:r>
      <w:r w:rsidRPr="001B3063">
        <w:rPr>
          <w:rFonts w:cs="Arial"/>
          <w:vertAlign w:val="superscript"/>
        </w:rPr>
        <w:t> </w:t>
      </w:r>
      <w:r w:rsidRPr="001B3063">
        <w:rPr>
          <w:rFonts w:cs="Arial"/>
        </w:rPr>
        <w:t xml:space="preserve">+ Frais de livraison 10 € HT par </w:t>
      </w:r>
      <w:r>
        <w:rPr>
          <w:rFonts w:cs="Arial"/>
        </w:rPr>
        <w:t>tonne.</w:t>
      </w:r>
    </w:p>
    <w:p w14:paraId="041DDAB9" w14:textId="4DC191E3" w:rsidR="00405160" w:rsidRDefault="00405160" w:rsidP="00405160">
      <w:pPr>
        <w:pStyle w:val="Paragraphedeliste"/>
        <w:numPr>
          <w:ilvl w:val="0"/>
          <w:numId w:val="6"/>
        </w:numPr>
        <w:tabs>
          <w:tab w:val="clear" w:pos="144"/>
          <w:tab w:val="clear" w:pos="864"/>
          <w:tab w:val="clear" w:pos="1584"/>
          <w:tab w:val="clear" w:pos="2304"/>
          <w:tab w:val="clear" w:pos="3024"/>
          <w:tab w:val="clear" w:pos="3744"/>
          <w:tab w:val="clear" w:pos="4464"/>
          <w:tab w:val="clear" w:pos="5184"/>
          <w:tab w:val="clear" w:pos="5904"/>
          <w:tab w:val="clear" w:pos="6624"/>
        </w:tabs>
        <w:ind w:left="284"/>
        <w:rPr>
          <w:rFonts w:cs="Arial"/>
        </w:rPr>
      </w:pPr>
      <w:r>
        <w:rPr>
          <w:rFonts w:cs="Arial"/>
        </w:rPr>
        <w:t xml:space="preserve">Fournitures diverses (heures matériel, fournitures </w:t>
      </w:r>
      <w:r w:rsidR="00132D23">
        <w:rPr>
          <w:rFonts w:cs="Arial"/>
        </w:rPr>
        <w:t>diverses)</w:t>
      </w:r>
      <w:r>
        <w:rPr>
          <w:rFonts w:cs="Arial"/>
        </w:rPr>
        <w:t xml:space="preserve"> : 33 300 HT €.</w:t>
      </w:r>
    </w:p>
    <w:p w14:paraId="085C9D90" w14:textId="77777777" w:rsidR="00405160" w:rsidRDefault="00405160" w:rsidP="00405160">
      <w:pPr>
        <w:pStyle w:val="Paragraphedeliste"/>
        <w:ind w:left="0"/>
        <w:rPr>
          <w:rFonts w:cs="Arial"/>
        </w:rPr>
      </w:pPr>
    </w:p>
    <w:p w14:paraId="6415532F" w14:textId="77777777" w:rsidR="00405160" w:rsidRPr="00934A16" w:rsidRDefault="00405160" w:rsidP="00405160">
      <w:pPr>
        <w:pStyle w:val="Paragraphedeliste"/>
        <w:ind w:left="0"/>
        <w:rPr>
          <w:rFonts w:cs="Arial"/>
          <w:b/>
          <w:bCs/>
        </w:rPr>
      </w:pPr>
      <w:r w:rsidRPr="00934A16">
        <w:rPr>
          <w:rFonts w:cs="Arial"/>
          <w:b/>
          <w:bCs/>
        </w:rPr>
        <w:t>Main-d’œuvre </w:t>
      </w:r>
      <w:r>
        <w:rPr>
          <w:rFonts w:cs="Arial"/>
          <w:b/>
          <w:bCs/>
        </w:rPr>
        <w:t xml:space="preserve">pour la construction du réservoir </w:t>
      </w:r>
      <w:r w:rsidRPr="00934A16">
        <w:rPr>
          <w:rFonts w:cs="Arial"/>
          <w:b/>
          <w:bCs/>
        </w:rPr>
        <w:t>:</w:t>
      </w:r>
    </w:p>
    <w:p w14:paraId="212522EB" w14:textId="77777777" w:rsidR="00405160" w:rsidRPr="0080615B" w:rsidRDefault="00405160" w:rsidP="00405160">
      <w:pPr>
        <w:tabs>
          <w:tab w:val="clear" w:pos="144"/>
          <w:tab w:val="clear" w:pos="864"/>
          <w:tab w:val="clear" w:pos="1584"/>
          <w:tab w:val="clear" w:pos="2304"/>
          <w:tab w:val="clear" w:pos="3024"/>
          <w:tab w:val="clear" w:pos="3744"/>
          <w:tab w:val="clear" w:pos="4464"/>
          <w:tab w:val="clear" w:pos="5184"/>
          <w:tab w:val="clear" w:pos="5904"/>
          <w:tab w:val="clear" w:pos="6624"/>
        </w:tabs>
        <w:spacing w:before="120"/>
        <w:rPr>
          <w:rFonts w:cs="Arial"/>
        </w:rPr>
      </w:pPr>
      <w:r w:rsidRPr="0080615B">
        <w:rPr>
          <w:rFonts w:cs="Arial"/>
          <w:b/>
          <w:bCs/>
        </w:rPr>
        <w:t>Bureau d’études</w:t>
      </w:r>
      <w:r w:rsidRPr="0080615B">
        <w:rPr>
          <w:rFonts w:cs="Arial"/>
        </w:rPr>
        <w:t> : 160 heures (taux horaire 60 €</w:t>
      </w:r>
      <w:r>
        <w:rPr>
          <w:rFonts w:cs="Arial"/>
        </w:rPr>
        <w:t xml:space="preserve"> + 3</w:t>
      </w:r>
      <w:r w:rsidRPr="0080615B">
        <w:rPr>
          <w:rFonts w:cs="Arial"/>
        </w:rPr>
        <w:t xml:space="preserve"> déplacement</w:t>
      </w:r>
      <w:r>
        <w:rPr>
          <w:rFonts w:cs="Arial"/>
        </w:rPr>
        <w:t>s</w:t>
      </w:r>
      <w:r w:rsidRPr="0080615B">
        <w:rPr>
          <w:rFonts w:cs="Arial"/>
        </w:rPr>
        <w:t xml:space="preserve"> </w:t>
      </w:r>
      <w:r>
        <w:rPr>
          <w:rFonts w:cs="Arial"/>
        </w:rPr>
        <w:t xml:space="preserve">de 2 jours </w:t>
      </w:r>
      <w:r w:rsidRPr="0080615B">
        <w:rPr>
          <w:rFonts w:cs="Arial"/>
        </w:rPr>
        <w:t xml:space="preserve">de 2 chefs de chantier </w:t>
      </w:r>
      <w:r>
        <w:rPr>
          <w:rFonts w:cs="Arial"/>
        </w:rPr>
        <w:t xml:space="preserve">avec </w:t>
      </w:r>
      <w:r w:rsidRPr="0080615B">
        <w:rPr>
          <w:rFonts w:cs="Arial"/>
        </w:rPr>
        <w:t>nuit</w:t>
      </w:r>
      <w:r>
        <w:rPr>
          <w:rFonts w:cs="Arial"/>
        </w:rPr>
        <w:t>s</w:t>
      </w:r>
      <w:r w:rsidRPr="0080615B">
        <w:rPr>
          <w:rFonts w:cs="Arial"/>
        </w:rPr>
        <w:t xml:space="preserve"> d’h</w:t>
      </w:r>
      <w:r>
        <w:rPr>
          <w:rFonts w:cs="Arial"/>
        </w:rPr>
        <w:t>ô</w:t>
      </w:r>
      <w:r w:rsidRPr="0080615B">
        <w:rPr>
          <w:rFonts w:cs="Arial"/>
        </w:rPr>
        <w:t xml:space="preserve">tel + </w:t>
      </w:r>
      <w:r>
        <w:rPr>
          <w:rFonts w:cs="Arial"/>
        </w:rPr>
        <w:t>f</w:t>
      </w:r>
      <w:r w:rsidRPr="0080615B">
        <w:rPr>
          <w:rFonts w:cs="Arial"/>
        </w:rPr>
        <w:t>orfait</w:t>
      </w:r>
      <w:r>
        <w:rPr>
          <w:rFonts w:cs="Arial"/>
        </w:rPr>
        <w:t>s</w:t>
      </w:r>
      <w:r w:rsidRPr="0080615B">
        <w:rPr>
          <w:rFonts w:cs="Arial"/>
        </w:rPr>
        <w:t xml:space="preserve"> transport + </w:t>
      </w:r>
      <w:r>
        <w:rPr>
          <w:rFonts w:cs="Arial"/>
        </w:rPr>
        <w:t>f</w:t>
      </w:r>
      <w:r w:rsidRPr="0080615B">
        <w:rPr>
          <w:rFonts w:cs="Arial"/>
        </w:rPr>
        <w:t>orfait</w:t>
      </w:r>
      <w:r>
        <w:rPr>
          <w:rFonts w:cs="Arial"/>
        </w:rPr>
        <w:t>s</w:t>
      </w:r>
      <w:r w:rsidRPr="0080615B">
        <w:rPr>
          <w:rFonts w:cs="Arial"/>
        </w:rPr>
        <w:t xml:space="preserve"> repas</w:t>
      </w:r>
      <w:r w:rsidRPr="004438FE">
        <w:rPr>
          <w:rFonts w:cs="Arial"/>
        </w:rPr>
        <w:t xml:space="preserve"> </w:t>
      </w:r>
      <w:r>
        <w:rPr>
          <w:rFonts w:cs="Arial"/>
        </w:rPr>
        <w:t>à chaque déplacement</w:t>
      </w:r>
      <w:r w:rsidRPr="0080615B">
        <w:rPr>
          <w:rFonts w:cs="Arial"/>
        </w:rPr>
        <w:t>).</w:t>
      </w:r>
    </w:p>
    <w:p w14:paraId="28B959FA" w14:textId="77777777" w:rsidR="00405160" w:rsidRPr="0080615B" w:rsidRDefault="00405160" w:rsidP="00405160">
      <w:pPr>
        <w:tabs>
          <w:tab w:val="clear" w:pos="144"/>
          <w:tab w:val="clear" w:pos="864"/>
          <w:tab w:val="clear" w:pos="1584"/>
          <w:tab w:val="clear" w:pos="2304"/>
          <w:tab w:val="clear" w:pos="3024"/>
          <w:tab w:val="clear" w:pos="3744"/>
          <w:tab w:val="clear" w:pos="4464"/>
          <w:tab w:val="clear" w:pos="5184"/>
          <w:tab w:val="clear" w:pos="5904"/>
          <w:tab w:val="clear" w:pos="6624"/>
        </w:tabs>
        <w:spacing w:before="120"/>
        <w:rPr>
          <w:rFonts w:cs="Arial"/>
        </w:rPr>
      </w:pPr>
      <w:r w:rsidRPr="0080615B">
        <w:rPr>
          <w:rFonts w:cs="Arial"/>
          <w:b/>
          <w:bCs/>
        </w:rPr>
        <w:t>Terrassement</w:t>
      </w:r>
      <w:r w:rsidRPr="0080615B">
        <w:rPr>
          <w:rFonts w:cs="Arial"/>
        </w:rPr>
        <w:t xml:space="preserve"> : 2 salariés sur </w:t>
      </w:r>
      <w:r>
        <w:rPr>
          <w:rFonts w:cs="Arial"/>
        </w:rPr>
        <w:t>7</w:t>
      </w:r>
      <w:r w:rsidRPr="0080615B">
        <w:rPr>
          <w:rFonts w:cs="Arial"/>
        </w:rPr>
        <w:t xml:space="preserve"> jours = </w:t>
      </w:r>
      <w:r>
        <w:rPr>
          <w:rFonts w:cs="Arial"/>
        </w:rPr>
        <w:t>98</w:t>
      </w:r>
      <w:r w:rsidRPr="0080615B">
        <w:rPr>
          <w:rFonts w:cs="Arial"/>
        </w:rPr>
        <w:t xml:space="preserve"> heures </w:t>
      </w:r>
      <w:r>
        <w:rPr>
          <w:rFonts w:cs="Arial"/>
        </w:rPr>
        <w:t xml:space="preserve">sur 2 semaines </w:t>
      </w:r>
      <w:r w:rsidRPr="0080615B">
        <w:rPr>
          <w:rFonts w:cs="Arial"/>
        </w:rPr>
        <w:t>(taux horaire 50</w:t>
      </w:r>
      <w:r>
        <w:rPr>
          <w:rFonts w:cs="Arial"/>
        </w:rPr>
        <w:t xml:space="preserve"> €</w:t>
      </w:r>
      <w:r w:rsidRPr="0080615B">
        <w:rPr>
          <w:rFonts w:cs="Arial"/>
        </w:rPr>
        <w:t xml:space="preserve"> </w:t>
      </w:r>
      <w:r>
        <w:rPr>
          <w:rFonts w:cs="Arial"/>
        </w:rPr>
        <w:t xml:space="preserve">+ </w:t>
      </w:r>
      <w:r w:rsidRPr="0080615B">
        <w:rPr>
          <w:rFonts w:cs="Arial"/>
        </w:rPr>
        <w:t>nuit</w:t>
      </w:r>
      <w:r>
        <w:rPr>
          <w:rFonts w:cs="Arial"/>
        </w:rPr>
        <w:t>s</w:t>
      </w:r>
      <w:r w:rsidRPr="0080615B">
        <w:rPr>
          <w:rFonts w:cs="Arial"/>
        </w:rPr>
        <w:t xml:space="preserve"> d’h</w:t>
      </w:r>
      <w:r>
        <w:rPr>
          <w:rFonts w:cs="Arial"/>
        </w:rPr>
        <w:t>ô</w:t>
      </w:r>
      <w:r w:rsidRPr="0080615B">
        <w:rPr>
          <w:rFonts w:cs="Arial"/>
        </w:rPr>
        <w:t>tel + forfait</w:t>
      </w:r>
      <w:r>
        <w:rPr>
          <w:rFonts w:cs="Arial"/>
        </w:rPr>
        <w:t>s</w:t>
      </w:r>
      <w:r w:rsidRPr="0080615B">
        <w:rPr>
          <w:rFonts w:cs="Arial"/>
        </w:rPr>
        <w:t xml:space="preserve"> transport + forfait</w:t>
      </w:r>
      <w:r>
        <w:rPr>
          <w:rFonts w:cs="Arial"/>
        </w:rPr>
        <w:t>s</w:t>
      </w:r>
      <w:r w:rsidRPr="0080615B">
        <w:rPr>
          <w:rFonts w:cs="Arial"/>
        </w:rPr>
        <w:t xml:space="preserve"> repas</w:t>
      </w:r>
      <w:r>
        <w:rPr>
          <w:rFonts w:cs="Arial"/>
        </w:rPr>
        <w:t>).</w:t>
      </w:r>
    </w:p>
    <w:p w14:paraId="69BDA608" w14:textId="77777777" w:rsidR="00405160" w:rsidRPr="0080615B" w:rsidRDefault="00405160" w:rsidP="00405160">
      <w:pPr>
        <w:tabs>
          <w:tab w:val="clear" w:pos="144"/>
          <w:tab w:val="clear" w:pos="864"/>
          <w:tab w:val="clear" w:pos="1584"/>
          <w:tab w:val="clear" w:pos="2304"/>
          <w:tab w:val="clear" w:pos="3024"/>
          <w:tab w:val="clear" w:pos="3744"/>
          <w:tab w:val="clear" w:pos="4464"/>
          <w:tab w:val="clear" w:pos="5184"/>
          <w:tab w:val="clear" w:pos="5904"/>
          <w:tab w:val="clear" w:pos="6624"/>
        </w:tabs>
        <w:spacing w:before="120"/>
        <w:rPr>
          <w:rFonts w:cs="Arial"/>
        </w:rPr>
      </w:pPr>
      <w:r w:rsidRPr="0080615B">
        <w:rPr>
          <w:rFonts w:cs="Arial"/>
          <w:b/>
          <w:bCs/>
        </w:rPr>
        <w:t>Maçonnerie</w:t>
      </w:r>
      <w:r w:rsidRPr="0080615B">
        <w:rPr>
          <w:rFonts w:cs="Arial"/>
        </w:rPr>
        <w:t xml:space="preserve"> : </w:t>
      </w:r>
      <w:r>
        <w:rPr>
          <w:rFonts w:cs="Arial"/>
        </w:rPr>
        <w:t>4 salariés pendant 6 semaines de 5 jours</w:t>
      </w:r>
      <w:r w:rsidRPr="00333A77">
        <w:rPr>
          <w:rFonts w:cs="Arial"/>
        </w:rPr>
        <w:t xml:space="preserve"> </w:t>
      </w:r>
      <w:r>
        <w:rPr>
          <w:rFonts w:cs="Arial"/>
        </w:rPr>
        <w:t>de travail. Chaque salarié rentre en fin de semaine et revient le lundi = 840</w:t>
      </w:r>
      <w:r w:rsidRPr="0080615B">
        <w:rPr>
          <w:rFonts w:cs="Arial"/>
        </w:rPr>
        <w:t xml:space="preserve"> heures (taux horaire </w:t>
      </w:r>
      <w:r>
        <w:rPr>
          <w:rFonts w:cs="Arial"/>
        </w:rPr>
        <w:t>50</w:t>
      </w:r>
      <w:r w:rsidRPr="0080615B">
        <w:rPr>
          <w:rFonts w:cs="Arial"/>
        </w:rPr>
        <w:t xml:space="preserve"> €</w:t>
      </w:r>
      <w:r>
        <w:rPr>
          <w:rFonts w:cs="Arial"/>
        </w:rPr>
        <w:t xml:space="preserve"> + nuits d’hôtel</w:t>
      </w:r>
      <w:r w:rsidRPr="0080615B">
        <w:rPr>
          <w:rFonts w:cs="Arial"/>
        </w:rPr>
        <w:t xml:space="preserve"> </w:t>
      </w:r>
      <w:r>
        <w:rPr>
          <w:rFonts w:cs="Arial"/>
        </w:rPr>
        <w:t>+</w:t>
      </w:r>
      <w:r w:rsidRPr="0080615B">
        <w:rPr>
          <w:rFonts w:cs="Arial"/>
        </w:rPr>
        <w:t xml:space="preserve"> forfait</w:t>
      </w:r>
      <w:r>
        <w:rPr>
          <w:rFonts w:cs="Arial"/>
        </w:rPr>
        <w:t>s</w:t>
      </w:r>
      <w:r w:rsidRPr="0080615B">
        <w:rPr>
          <w:rFonts w:cs="Arial"/>
        </w:rPr>
        <w:t xml:space="preserve"> transport + forfait</w:t>
      </w:r>
      <w:r>
        <w:rPr>
          <w:rFonts w:cs="Arial"/>
        </w:rPr>
        <w:t>s</w:t>
      </w:r>
      <w:r w:rsidRPr="0080615B">
        <w:rPr>
          <w:rFonts w:cs="Arial"/>
        </w:rPr>
        <w:t xml:space="preserve"> repas</w:t>
      </w:r>
      <w:r>
        <w:rPr>
          <w:rFonts w:cs="Arial"/>
        </w:rPr>
        <w:t>).</w:t>
      </w:r>
    </w:p>
    <w:p w14:paraId="2B97756C" w14:textId="77777777" w:rsidR="00405160" w:rsidRPr="0080615B" w:rsidRDefault="00405160" w:rsidP="00405160">
      <w:pPr>
        <w:tabs>
          <w:tab w:val="clear" w:pos="144"/>
          <w:tab w:val="clear" w:pos="864"/>
          <w:tab w:val="clear" w:pos="1584"/>
          <w:tab w:val="clear" w:pos="2304"/>
          <w:tab w:val="clear" w:pos="3024"/>
          <w:tab w:val="clear" w:pos="3744"/>
          <w:tab w:val="clear" w:pos="4464"/>
          <w:tab w:val="clear" w:pos="5184"/>
          <w:tab w:val="clear" w:pos="5904"/>
          <w:tab w:val="clear" w:pos="6624"/>
        </w:tabs>
        <w:spacing w:before="120"/>
        <w:rPr>
          <w:rFonts w:cs="Arial"/>
          <w:b/>
          <w:bCs/>
        </w:rPr>
      </w:pPr>
      <w:r w:rsidRPr="0080615B">
        <w:rPr>
          <w:rFonts w:cs="Arial"/>
          <w:b/>
          <w:bCs/>
        </w:rPr>
        <w:t>Base de remboursement des note</w:t>
      </w:r>
      <w:r>
        <w:rPr>
          <w:rFonts w:cs="Arial"/>
          <w:b/>
          <w:bCs/>
        </w:rPr>
        <w:t>s</w:t>
      </w:r>
      <w:r w:rsidRPr="0080615B">
        <w:rPr>
          <w:rFonts w:cs="Arial"/>
          <w:b/>
          <w:bCs/>
        </w:rPr>
        <w:t xml:space="preserve"> de frais</w:t>
      </w:r>
    </w:p>
    <w:p w14:paraId="6C807504" w14:textId="77777777" w:rsidR="00405160" w:rsidRPr="0080615B" w:rsidRDefault="00405160" w:rsidP="00405160">
      <w:pPr>
        <w:pStyle w:val="Paragraphedeliste"/>
        <w:numPr>
          <w:ilvl w:val="0"/>
          <w:numId w:val="7"/>
        </w:numPr>
        <w:tabs>
          <w:tab w:val="clear" w:pos="144"/>
          <w:tab w:val="clear" w:pos="864"/>
          <w:tab w:val="clear" w:pos="1584"/>
          <w:tab w:val="clear" w:pos="2304"/>
          <w:tab w:val="clear" w:pos="3024"/>
          <w:tab w:val="clear" w:pos="3744"/>
          <w:tab w:val="clear" w:pos="4464"/>
          <w:tab w:val="clear" w:pos="5184"/>
          <w:tab w:val="clear" w:pos="5904"/>
          <w:tab w:val="clear" w:pos="6624"/>
        </w:tabs>
        <w:ind w:left="284" w:hanging="284"/>
        <w:rPr>
          <w:rFonts w:cs="Arial"/>
        </w:rPr>
      </w:pPr>
      <w:r w:rsidRPr="0080615B">
        <w:rPr>
          <w:rFonts w:cs="Arial"/>
        </w:rPr>
        <w:t xml:space="preserve">Nuit d’hôtel : 80 € la nuit et par personne </w:t>
      </w:r>
      <w:r>
        <w:rPr>
          <w:rFonts w:cs="Arial"/>
        </w:rPr>
        <w:t>(</w:t>
      </w:r>
      <w:r w:rsidRPr="0080615B">
        <w:rPr>
          <w:rFonts w:cs="Arial"/>
        </w:rPr>
        <w:t>PDJ inclus</w:t>
      </w:r>
      <w:r>
        <w:rPr>
          <w:rFonts w:cs="Arial"/>
        </w:rPr>
        <w:t>) ;</w:t>
      </w:r>
    </w:p>
    <w:p w14:paraId="171610EB" w14:textId="77777777" w:rsidR="00405160" w:rsidRDefault="00405160" w:rsidP="00405160">
      <w:pPr>
        <w:pStyle w:val="Paragraphedeliste"/>
        <w:numPr>
          <w:ilvl w:val="0"/>
          <w:numId w:val="7"/>
        </w:numPr>
        <w:tabs>
          <w:tab w:val="clear" w:pos="144"/>
          <w:tab w:val="clear" w:pos="864"/>
          <w:tab w:val="clear" w:pos="1584"/>
          <w:tab w:val="clear" w:pos="2304"/>
          <w:tab w:val="clear" w:pos="3024"/>
          <w:tab w:val="clear" w:pos="3744"/>
          <w:tab w:val="clear" w:pos="4464"/>
          <w:tab w:val="clear" w:pos="5184"/>
          <w:tab w:val="clear" w:pos="5904"/>
          <w:tab w:val="clear" w:pos="6624"/>
        </w:tabs>
        <w:spacing w:before="120"/>
        <w:ind w:left="284" w:hanging="284"/>
        <w:rPr>
          <w:rFonts w:cs="Arial"/>
        </w:rPr>
      </w:pPr>
      <w:r w:rsidRPr="0080615B">
        <w:rPr>
          <w:rFonts w:cs="Arial"/>
        </w:rPr>
        <w:t>Indemnité transport : 60 € par personne</w:t>
      </w:r>
      <w:r>
        <w:rPr>
          <w:rFonts w:cs="Arial"/>
        </w:rPr>
        <w:t> pour un aller/retour ;</w:t>
      </w:r>
    </w:p>
    <w:p w14:paraId="4493C197" w14:textId="77777777" w:rsidR="00405160" w:rsidRPr="0080615B" w:rsidRDefault="00405160" w:rsidP="00405160">
      <w:pPr>
        <w:pStyle w:val="Paragraphedeliste"/>
        <w:numPr>
          <w:ilvl w:val="0"/>
          <w:numId w:val="7"/>
        </w:numPr>
        <w:tabs>
          <w:tab w:val="clear" w:pos="144"/>
          <w:tab w:val="clear" w:pos="864"/>
          <w:tab w:val="clear" w:pos="1584"/>
          <w:tab w:val="clear" w:pos="2304"/>
          <w:tab w:val="clear" w:pos="3024"/>
          <w:tab w:val="clear" w:pos="3744"/>
          <w:tab w:val="clear" w:pos="4464"/>
          <w:tab w:val="clear" w:pos="5184"/>
          <w:tab w:val="clear" w:pos="5904"/>
          <w:tab w:val="clear" w:pos="6624"/>
        </w:tabs>
        <w:spacing w:before="120"/>
        <w:ind w:left="284" w:hanging="284"/>
        <w:rPr>
          <w:rFonts w:cs="Arial"/>
        </w:rPr>
      </w:pPr>
      <w:r>
        <w:rPr>
          <w:rFonts w:cs="Arial"/>
        </w:rPr>
        <w:t>Forfait repas 50 € par personne et par jour.</w:t>
      </w:r>
    </w:p>
    <w:p w14:paraId="73769CDD" w14:textId="77777777" w:rsidR="00405160" w:rsidRPr="0080615B" w:rsidRDefault="00405160" w:rsidP="00405160"/>
    <w:p w14:paraId="286CB06A" w14:textId="77777777" w:rsidR="00405160" w:rsidRPr="001B3063" w:rsidRDefault="00405160" w:rsidP="00405160"/>
    <w:p w14:paraId="6CB89C29" w14:textId="77777777" w:rsidR="00405160" w:rsidRPr="00333A77" w:rsidRDefault="00405160" w:rsidP="00405160">
      <w:pPr>
        <w:pStyle w:val="Paragraphedeliste"/>
        <w:spacing w:line="360" w:lineRule="auto"/>
        <w:ind w:left="0"/>
        <w:rPr>
          <w:rFonts w:cs="Arial"/>
          <w:b/>
          <w:bCs/>
          <w:sz w:val="22"/>
          <w:szCs w:val="22"/>
        </w:rPr>
      </w:pPr>
      <w:r w:rsidRPr="00333A77">
        <w:rPr>
          <w:rFonts w:cs="Arial"/>
          <w:b/>
          <w:bCs/>
          <w:sz w:val="22"/>
          <w:szCs w:val="22"/>
        </w:rPr>
        <w:t>Tableau de répartition des charges indirectes</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94"/>
        <w:gridCol w:w="1456"/>
        <w:gridCol w:w="1522"/>
        <w:gridCol w:w="1888"/>
        <w:gridCol w:w="1628"/>
      </w:tblGrid>
      <w:tr w:rsidR="00405160" w:rsidRPr="00D65714" w14:paraId="2D6B3549" w14:textId="77777777" w:rsidTr="002B769A">
        <w:trPr>
          <w:trHeight w:val="397"/>
          <w:jc w:val="center"/>
        </w:trPr>
        <w:tc>
          <w:tcPr>
            <w:tcW w:w="1668" w:type="dxa"/>
            <w:vMerge w:val="restart"/>
            <w:shd w:val="clear" w:color="auto" w:fill="E2EFD9" w:themeFill="accent6" w:themeFillTint="33"/>
          </w:tcPr>
          <w:p w14:paraId="014BBFF1" w14:textId="77777777" w:rsidR="00405160" w:rsidRPr="001B3063" w:rsidRDefault="00405160" w:rsidP="002B769A">
            <w:pPr>
              <w:spacing w:before="120" w:after="120"/>
              <w:contextualSpacing/>
              <w:jc w:val="center"/>
              <w:rPr>
                <w:rFonts w:cs="Arial"/>
                <w:b/>
              </w:rPr>
            </w:pPr>
          </w:p>
        </w:tc>
        <w:tc>
          <w:tcPr>
            <w:tcW w:w="8588" w:type="dxa"/>
            <w:gridSpan w:val="5"/>
            <w:shd w:val="clear" w:color="auto" w:fill="E2EFD9" w:themeFill="accent6" w:themeFillTint="33"/>
            <w:vAlign w:val="center"/>
          </w:tcPr>
          <w:p w14:paraId="520F3B85" w14:textId="77777777" w:rsidR="00405160" w:rsidRPr="001B3063" w:rsidRDefault="00405160" w:rsidP="002B769A">
            <w:pPr>
              <w:spacing w:before="120" w:after="120"/>
              <w:contextualSpacing/>
              <w:jc w:val="center"/>
              <w:rPr>
                <w:rFonts w:cs="Arial"/>
                <w:b/>
              </w:rPr>
            </w:pPr>
            <w:r w:rsidRPr="00FE58CB">
              <w:rPr>
                <w:rFonts w:cs="Arial"/>
                <w:b/>
                <w:sz w:val="22"/>
                <w:szCs w:val="22"/>
              </w:rPr>
              <w:t>Centres principaux</w:t>
            </w:r>
          </w:p>
        </w:tc>
      </w:tr>
      <w:tr w:rsidR="00405160" w:rsidRPr="00D65714" w14:paraId="60A0003D" w14:textId="77777777" w:rsidTr="002B769A">
        <w:trPr>
          <w:trHeight w:val="567"/>
          <w:jc w:val="center"/>
        </w:trPr>
        <w:tc>
          <w:tcPr>
            <w:tcW w:w="1668" w:type="dxa"/>
            <w:vMerge/>
            <w:shd w:val="clear" w:color="auto" w:fill="E2EFD9" w:themeFill="accent6" w:themeFillTint="33"/>
          </w:tcPr>
          <w:p w14:paraId="04E7F9E7" w14:textId="77777777" w:rsidR="00405160" w:rsidRPr="001B3063" w:rsidRDefault="00405160" w:rsidP="002B769A">
            <w:pPr>
              <w:spacing w:before="120" w:after="120"/>
              <w:contextualSpacing/>
              <w:jc w:val="center"/>
              <w:rPr>
                <w:rFonts w:cs="Arial"/>
                <w:b/>
              </w:rPr>
            </w:pPr>
          </w:p>
        </w:tc>
        <w:tc>
          <w:tcPr>
            <w:tcW w:w="2094" w:type="dxa"/>
            <w:shd w:val="clear" w:color="auto" w:fill="E2EFD9" w:themeFill="accent6" w:themeFillTint="33"/>
            <w:vAlign w:val="center"/>
          </w:tcPr>
          <w:p w14:paraId="526AD83A" w14:textId="77777777" w:rsidR="00405160" w:rsidRPr="001B3063" w:rsidRDefault="00405160" w:rsidP="002B769A">
            <w:pPr>
              <w:spacing w:before="120" w:after="120"/>
              <w:contextualSpacing/>
              <w:jc w:val="center"/>
              <w:rPr>
                <w:rFonts w:cs="Arial"/>
                <w:b/>
              </w:rPr>
            </w:pPr>
            <w:r w:rsidRPr="001B3063">
              <w:rPr>
                <w:rFonts w:cs="Arial"/>
                <w:b/>
              </w:rPr>
              <w:t>Approvisionnement</w:t>
            </w:r>
          </w:p>
        </w:tc>
        <w:tc>
          <w:tcPr>
            <w:tcW w:w="1456" w:type="dxa"/>
            <w:shd w:val="clear" w:color="auto" w:fill="E2EFD9" w:themeFill="accent6" w:themeFillTint="33"/>
            <w:vAlign w:val="center"/>
          </w:tcPr>
          <w:p w14:paraId="67F60395" w14:textId="77777777" w:rsidR="00405160" w:rsidRPr="001B3063" w:rsidRDefault="00405160" w:rsidP="002B769A">
            <w:pPr>
              <w:spacing w:before="120" w:after="120"/>
              <w:contextualSpacing/>
              <w:jc w:val="center"/>
              <w:rPr>
                <w:rFonts w:cs="Arial"/>
                <w:b/>
              </w:rPr>
            </w:pPr>
            <w:r w:rsidRPr="001B3063">
              <w:rPr>
                <w:rFonts w:cs="Arial"/>
                <w:b/>
              </w:rPr>
              <w:t>Bureau d’études</w:t>
            </w:r>
          </w:p>
        </w:tc>
        <w:tc>
          <w:tcPr>
            <w:tcW w:w="1522" w:type="dxa"/>
            <w:shd w:val="clear" w:color="auto" w:fill="E2EFD9" w:themeFill="accent6" w:themeFillTint="33"/>
            <w:vAlign w:val="center"/>
          </w:tcPr>
          <w:p w14:paraId="63F45527" w14:textId="77777777" w:rsidR="00405160" w:rsidRPr="001B3063" w:rsidRDefault="00405160" w:rsidP="002B769A">
            <w:pPr>
              <w:spacing w:before="120" w:after="120"/>
              <w:contextualSpacing/>
              <w:jc w:val="center"/>
              <w:rPr>
                <w:rFonts w:cs="Arial"/>
                <w:b/>
              </w:rPr>
            </w:pPr>
            <w:r>
              <w:rPr>
                <w:rFonts w:cs="Arial"/>
                <w:b/>
              </w:rPr>
              <w:t>Travaux public</w:t>
            </w:r>
          </w:p>
        </w:tc>
        <w:tc>
          <w:tcPr>
            <w:tcW w:w="1888" w:type="dxa"/>
            <w:shd w:val="clear" w:color="auto" w:fill="E2EFD9" w:themeFill="accent6" w:themeFillTint="33"/>
            <w:vAlign w:val="center"/>
          </w:tcPr>
          <w:p w14:paraId="2F7393D5" w14:textId="77777777" w:rsidR="00405160" w:rsidRPr="001B3063" w:rsidRDefault="00405160" w:rsidP="002B769A">
            <w:pPr>
              <w:spacing w:before="120" w:after="120"/>
              <w:contextualSpacing/>
              <w:jc w:val="center"/>
              <w:rPr>
                <w:rFonts w:cs="Arial"/>
                <w:b/>
              </w:rPr>
            </w:pPr>
            <w:r>
              <w:rPr>
                <w:rFonts w:cs="Arial"/>
                <w:b/>
              </w:rPr>
              <w:t>Maçonnerie</w:t>
            </w:r>
          </w:p>
        </w:tc>
        <w:tc>
          <w:tcPr>
            <w:tcW w:w="1628" w:type="dxa"/>
            <w:shd w:val="clear" w:color="auto" w:fill="E2EFD9" w:themeFill="accent6" w:themeFillTint="33"/>
            <w:vAlign w:val="center"/>
          </w:tcPr>
          <w:p w14:paraId="7FFB23F9" w14:textId="77777777" w:rsidR="00405160" w:rsidRPr="001B3063" w:rsidRDefault="00405160" w:rsidP="002B769A">
            <w:pPr>
              <w:spacing w:before="120" w:after="120"/>
              <w:contextualSpacing/>
              <w:jc w:val="center"/>
              <w:rPr>
                <w:rFonts w:cs="Arial"/>
                <w:b/>
              </w:rPr>
            </w:pPr>
            <w:r>
              <w:rPr>
                <w:rFonts w:cs="Arial"/>
                <w:b/>
              </w:rPr>
              <w:t>Commercial</w:t>
            </w:r>
          </w:p>
        </w:tc>
      </w:tr>
      <w:tr w:rsidR="00405160" w:rsidRPr="00D65714" w14:paraId="1522A47E" w14:textId="77777777" w:rsidTr="002B769A">
        <w:trPr>
          <w:trHeight w:val="567"/>
          <w:jc w:val="center"/>
        </w:trPr>
        <w:tc>
          <w:tcPr>
            <w:tcW w:w="1668" w:type="dxa"/>
            <w:shd w:val="clear" w:color="auto" w:fill="E2EFD9" w:themeFill="accent6" w:themeFillTint="33"/>
            <w:vAlign w:val="center"/>
          </w:tcPr>
          <w:p w14:paraId="75361CDE" w14:textId="77777777" w:rsidR="00405160" w:rsidRPr="001B3063" w:rsidRDefault="00405160" w:rsidP="002B769A">
            <w:pPr>
              <w:spacing w:before="120" w:after="120"/>
              <w:contextualSpacing/>
              <w:jc w:val="center"/>
              <w:rPr>
                <w:rFonts w:cs="Arial"/>
                <w:b/>
              </w:rPr>
            </w:pPr>
            <w:r w:rsidRPr="001B3063">
              <w:rPr>
                <w:rFonts w:cs="Arial"/>
                <w:b/>
              </w:rPr>
              <w:t>Totaux secondaires</w:t>
            </w:r>
          </w:p>
        </w:tc>
        <w:tc>
          <w:tcPr>
            <w:tcW w:w="2094" w:type="dxa"/>
            <w:vAlign w:val="center"/>
          </w:tcPr>
          <w:p w14:paraId="37FE6264" w14:textId="77777777" w:rsidR="00405160" w:rsidRPr="00D65714" w:rsidRDefault="00405160" w:rsidP="002B769A">
            <w:pPr>
              <w:contextualSpacing/>
              <w:jc w:val="center"/>
              <w:rPr>
                <w:rFonts w:cs="Arial"/>
                <w:bCs/>
              </w:rPr>
            </w:pPr>
            <w:r>
              <w:rPr>
                <w:rFonts w:cs="Arial"/>
                <w:bCs/>
              </w:rPr>
              <w:t>45 600</w:t>
            </w:r>
          </w:p>
        </w:tc>
        <w:tc>
          <w:tcPr>
            <w:tcW w:w="1456" w:type="dxa"/>
            <w:vAlign w:val="center"/>
          </w:tcPr>
          <w:p w14:paraId="351165FA" w14:textId="77777777" w:rsidR="00405160" w:rsidRPr="00D65714" w:rsidRDefault="00405160" w:rsidP="002B769A">
            <w:pPr>
              <w:contextualSpacing/>
              <w:jc w:val="center"/>
              <w:rPr>
                <w:rFonts w:cs="Arial"/>
                <w:bCs/>
              </w:rPr>
            </w:pPr>
            <w:r>
              <w:rPr>
                <w:rFonts w:cs="Arial"/>
                <w:bCs/>
              </w:rPr>
              <w:t>59 400</w:t>
            </w:r>
          </w:p>
        </w:tc>
        <w:tc>
          <w:tcPr>
            <w:tcW w:w="1522" w:type="dxa"/>
            <w:vAlign w:val="center"/>
          </w:tcPr>
          <w:p w14:paraId="778204E1" w14:textId="77777777" w:rsidR="00405160" w:rsidRPr="00D65714" w:rsidRDefault="00405160" w:rsidP="002B769A">
            <w:pPr>
              <w:contextualSpacing/>
              <w:jc w:val="center"/>
              <w:rPr>
                <w:rFonts w:cs="Arial"/>
                <w:bCs/>
              </w:rPr>
            </w:pPr>
            <w:r>
              <w:rPr>
                <w:rFonts w:cs="Arial"/>
                <w:bCs/>
              </w:rPr>
              <w:t>138 320</w:t>
            </w:r>
          </w:p>
        </w:tc>
        <w:tc>
          <w:tcPr>
            <w:tcW w:w="1888" w:type="dxa"/>
            <w:vAlign w:val="center"/>
          </w:tcPr>
          <w:p w14:paraId="52021C81" w14:textId="77777777" w:rsidR="00405160" w:rsidRPr="00D65714" w:rsidRDefault="00405160" w:rsidP="002B769A">
            <w:pPr>
              <w:contextualSpacing/>
              <w:jc w:val="center"/>
              <w:rPr>
                <w:rFonts w:cs="Arial"/>
                <w:bCs/>
              </w:rPr>
            </w:pPr>
            <w:r>
              <w:rPr>
                <w:rFonts w:cs="Arial"/>
                <w:bCs/>
              </w:rPr>
              <w:t>230</w:t>
            </w:r>
            <w:r w:rsidRPr="00D65714">
              <w:rPr>
                <w:rFonts w:cs="Arial"/>
                <w:bCs/>
              </w:rPr>
              <w:t xml:space="preserve"> </w:t>
            </w:r>
            <w:r>
              <w:rPr>
                <w:rFonts w:cs="Arial"/>
                <w:bCs/>
              </w:rPr>
              <w:t>4</w:t>
            </w:r>
            <w:r w:rsidRPr="00D65714">
              <w:rPr>
                <w:rFonts w:cs="Arial"/>
                <w:bCs/>
              </w:rPr>
              <w:t>00</w:t>
            </w:r>
          </w:p>
        </w:tc>
        <w:tc>
          <w:tcPr>
            <w:tcW w:w="1628" w:type="dxa"/>
            <w:vAlign w:val="center"/>
          </w:tcPr>
          <w:p w14:paraId="360C68F1" w14:textId="77777777" w:rsidR="00405160" w:rsidRPr="00D65714" w:rsidRDefault="00405160" w:rsidP="002B769A">
            <w:pPr>
              <w:contextualSpacing/>
              <w:jc w:val="center"/>
              <w:rPr>
                <w:rFonts w:cs="Arial"/>
                <w:bCs/>
              </w:rPr>
            </w:pPr>
            <w:r>
              <w:rPr>
                <w:rFonts w:cs="Arial"/>
                <w:bCs/>
              </w:rPr>
              <w:t>148 200</w:t>
            </w:r>
          </w:p>
        </w:tc>
      </w:tr>
      <w:tr w:rsidR="00405160" w:rsidRPr="00D65714" w14:paraId="4F1FEBF4" w14:textId="77777777" w:rsidTr="002B769A">
        <w:trPr>
          <w:trHeight w:val="567"/>
          <w:jc w:val="center"/>
        </w:trPr>
        <w:tc>
          <w:tcPr>
            <w:tcW w:w="1668" w:type="dxa"/>
            <w:shd w:val="clear" w:color="auto" w:fill="E2EFD9" w:themeFill="accent6" w:themeFillTint="33"/>
            <w:vAlign w:val="center"/>
          </w:tcPr>
          <w:p w14:paraId="6D0D3F6D" w14:textId="77777777" w:rsidR="00405160" w:rsidRPr="001B3063" w:rsidRDefault="00405160" w:rsidP="002B769A">
            <w:pPr>
              <w:spacing w:before="120" w:after="120"/>
              <w:contextualSpacing/>
              <w:jc w:val="center"/>
              <w:rPr>
                <w:rFonts w:cs="Arial"/>
                <w:b/>
              </w:rPr>
            </w:pPr>
            <w:r>
              <w:rPr>
                <w:rFonts w:cs="Arial"/>
                <w:b/>
              </w:rPr>
              <w:t>U</w:t>
            </w:r>
            <w:r w:rsidRPr="001B3063">
              <w:rPr>
                <w:rFonts w:cs="Arial"/>
                <w:b/>
              </w:rPr>
              <w:t>nité d’œuvre (U.O)</w:t>
            </w:r>
          </w:p>
        </w:tc>
        <w:tc>
          <w:tcPr>
            <w:tcW w:w="2094" w:type="dxa"/>
            <w:vAlign w:val="center"/>
          </w:tcPr>
          <w:p w14:paraId="304727A5" w14:textId="77777777" w:rsidR="00405160" w:rsidRPr="00D65714" w:rsidRDefault="00405160" w:rsidP="002B769A">
            <w:pPr>
              <w:contextualSpacing/>
              <w:jc w:val="center"/>
              <w:rPr>
                <w:rFonts w:cs="Arial"/>
                <w:bCs/>
              </w:rPr>
            </w:pPr>
            <w:r w:rsidRPr="00D65714">
              <w:rPr>
                <w:rFonts w:cs="Arial"/>
                <w:bCs/>
              </w:rPr>
              <w:t xml:space="preserve">Tonne </w:t>
            </w:r>
            <w:r>
              <w:rPr>
                <w:rFonts w:cs="Arial"/>
                <w:bCs/>
              </w:rPr>
              <w:t xml:space="preserve">matières </w:t>
            </w:r>
            <w:r w:rsidRPr="00D65714">
              <w:rPr>
                <w:rFonts w:cs="Arial"/>
                <w:bCs/>
              </w:rPr>
              <w:t>achetées</w:t>
            </w:r>
          </w:p>
        </w:tc>
        <w:tc>
          <w:tcPr>
            <w:tcW w:w="1456" w:type="dxa"/>
            <w:vAlign w:val="center"/>
          </w:tcPr>
          <w:p w14:paraId="34C89FE9" w14:textId="77777777" w:rsidR="00405160" w:rsidRPr="00D65714" w:rsidRDefault="00405160" w:rsidP="002B769A">
            <w:pPr>
              <w:contextualSpacing/>
              <w:jc w:val="center"/>
              <w:rPr>
                <w:rFonts w:cs="Arial"/>
                <w:bCs/>
              </w:rPr>
            </w:pPr>
            <w:r w:rsidRPr="00D65714">
              <w:rPr>
                <w:rFonts w:cs="Arial"/>
                <w:bCs/>
              </w:rPr>
              <w:t>Heure de main d’œuvre</w:t>
            </w:r>
          </w:p>
        </w:tc>
        <w:tc>
          <w:tcPr>
            <w:tcW w:w="1522" w:type="dxa"/>
            <w:vAlign w:val="center"/>
          </w:tcPr>
          <w:p w14:paraId="0FAB859D" w14:textId="77777777" w:rsidR="00405160" w:rsidRPr="00D65714" w:rsidRDefault="00405160" w:rsidP="002B769A">
            <w:pPr>
              <w:contextualSpacing/>
              <w:jc w:val="center"/>
              <w:rPr>
                <w:rFonts w:cs="Arial"/>
                <w:bCs/>
              </w:rPr>
            </w:pPr>
            <w:r w:rsidRPr="00D65714">
              <w:rPr>
                <w:rFonts w:cs="Arial"/>
                <w:bCs/>
              </w:rPr>
              <w:t>Heure de main d’œuvre</w:t>
            </w:r>
          </w:p>
        </w:tc>
        <w:tc>
          <w:tcPr>
            <w:tcW w:w="1888" w:type="dxa"/>
            <w:vAlign w:val="center"/>
          </w:tcPr>
          <w:p w14:paraId="423194F4" w14:textId="77777777" w:rsidR="00405160" w:rsidRPr="00D65714" w:rsidRDefault="00405160" w:rsidP="002B769A">
            <w:pPr>
              <w:contextualSpacing/>
              <w:jc w:val="center"/>
              <w:rPr>
                <w:rFonts w:cs="Arial"/>
                <w:bCs/>
              </w:rPr>
            </w:pPr>
            <w:r w:rsidRPr="00D65714">
              <w:rPr>
                <w:rFonts w:cs="Arial"/>
                <w:bCs/>
              </w:rPr>
              <w:t>Heure de main d’œuvre</w:t>
            </w:r>
          </w:p>
        </w:tc>
        <w:tc>
          <w:tcPr>
            <w:tcW w:w="1628" w:type="dxa"/>
            <w:vAlign w:val="center"/>
          </w:tcPr>
          <w:p w14:paraId="032C21F8" w14:textId="77777777" w:rsidR="00405160" w:rsidRPr="00D65714" w:rsidRDefault="00405160" w:rsidP="002B769A">
            <w:pPr>
              <w:contextualSpacing/>
              <w:jc w:val="center"/>
              <w:rPr>
                <w:rFonts w:cs="Arial"/>
                <w:bCs/>
              </w:rPr>
            </w:pPr>
            <w:r w:rsidRPr="00D65714">
              <w:rPr>
                <w:rFonts w:cs="Arial"/>
                <w:bCs/>
              </w:rPr>
              <w:t>100 € de CA</w:t>
            </w:r>
          </w:p>
        </w:tc>
      </w:tr>
      <w:tr w:rsidR="00405160" w:rsidRPr="00D65714" w14:paraId="2FD71BD2" w14:textId="77777777" w:rsidTr="002B769A">
        <w:trPr>
          <w:trHeight w:val="567"/>
          <w:jc w:val="center"/>
        </w:trPr>
        <w:tc>
          <w:tcPr>
            <w:tcW w:w="1668" w:type="dxa"/>
            <w:shd w:val="clear" w:color="auto" w:fill="E2EFD9" w:themeFill="accent6" w:themeFillTint="33"/>
            <w:vAlign w:val="center"/>
          </w:tcPr>
          <w:p w14:paraId="16ABC6B6" w14:textId="77777777" w:rsidR="00405160" w:rsidRPr="001B3063" w:rsidRDefault="00405160" w:rsidP="002B769A">
            <w:pPr>
              <w:spacing w:before="120" w:after="120"/>
              <w:contextualSpacing/>
              <w:jc w:val="center"/>
              <w:rPr>
                <w:rFonts w:cs="Arial"/>
                <w:b/>
              </w:rPr>
            </w:pPr>
            <w:r w:rsidRPr="001B3063">
              <w:rPr>
                <w:rFonts w:cs="Arial"/>
                <w:b/>
              </w:rPr>
              <w:t>Nombre U.O sur la totalité de l’exercice</w:t>
            </w:r>
          </w:p>
        </w:tc>
        <w:tc>
          <w:tcPr>
            <w:tcW w:w="2094" w:type="dxa"/>
            <w:vAlign w:val="center"/>
          </w:tcPr>
          <w:p w14:paraId="56F30124" w14:textId="77777777" w:rsidR="00405160" w:rsidRPr="00D65714" w:rsidRDefault="00405160" w:rsidP="002B769A">
            <w:pPr>
              <w:contextualSpacing/>
              <w:jc w:val="center"/>
              <w:rPr>
                <w:rFonts w:cs="Arial"/>
                <w:bCs/>
              </w:rPr>
            </w:pPr>
            <w:r>
              <w:rPr>
                <w:rFonts w:cs="Arial"/>
                <w:bCs/>
              </w:rPr>
              <w:t>1 90</w:t>
            </w:r>
            <w:r w:rsidRPr="00D65714">
              <w:rPr>
                <w:rFonts w:cs="Arial"/>
                <w:bCs/>
              </w:rPr>
              <w:t>0</w:t>
            </w:r>
          </w:p>
        </w:tc>
        <w:tc>
          <w:tcPr>
            <w:tcW w:w="1456" w:type="dxa"/>
            <w:vAlign w:val="center"/>
          </w:tcPr>
          <w:p w14:paraId="437FB7CA" w14:textId="77777777" w:rsidR="00405160" w:rsidRPr="00D65714" w:rsidRDefault="00405160" w:rsidP="002B769A">
            <w:pPr>
              <w:contextualSpacing/>
              <w:jc w:val="center"/>
              <w:rPr>
                <w:rFonts w:cs="Arial"/>
                <w:bCs/>
              </w:rPr>
            </w:pPr>
            <w:r>
              <w:rPr>
                <w:rFonts w:cs="Arial"/>
                <w:bCs/>
              </w:rPr>
              <w:t>3 300</w:t>
            </w:r>
          </w:p>
        </w:tc>
        <w:tc>
          <w:tcPr>
            <w:tcW w:w="1522" w:type="dxa"/>
            <w:vAlign w:val="center"/>
          </w:tcPr>
          <w:p w14:paraId="15BAA7F0" w14:textId="77777777" w:rsidR="00405160" w:rsidRPr="00D65714" w:rsidRDefault="00405160" w:rsidP="002B769A">
            <w:pPr>
              <w:contextualSpacing/>
              <w:jc w:val="center"/>
              <w:rPr>
                <w:rFonts w:cs="Arial"/>
                <w:bCs/>
              </w:rPr>
            </w:pPr>
            <w:r>
              <w:rPr>
                <w:rFonts w:cs="Arial"/>
                <w:bCs/>
              </w:rPr>
              <w:t>7 280</w:t>
            </w:r>
          </w:p>
        </w:tc>
        <w:tc>
          <w:tcPr>
            <w:tcW w:w="1888" w:type="dxa"/>
            <w:vAlign w:val="center"/>
          </w:tcPr>
          <w:p w14:paraId="34C956B7" w14:textId="77777777" w:rsidR="00405160" w:rsidRPr="00D65714" w:rsidRDefault="00405160" w:rsidP="002B769A">
            <w:pPr>
              <w:contextualSpacing/>
              <w:jc w:val="center"/>
              <w:rPr>
                <w:rFonts w:cs="Arial"/>
                <w:bCs/>
              </w:rPr>
            </w:pPr>
            <w:r>
              <w:rPr>
                <w:rFonts w:cs="Arial"/>
                <w:bCs/>
              </w:rPr>
              <w:t>14 400</w:t>
            </w:r>
          </w:p>
        </w:tc>
        <w:tc>
          <w:tcPr>
            <w:tcW w:w="1628" w:type="dxa"/>
            <w:vAlign w:val="center"/>
          </w:tcPr>
          <w:p w14:paraId="2B106A9F" w14:textId="77777777" w:rsidR="00405160" w:rsidRPr="00D65714" w:rsidRDefault="00405160" w:rsidP="002B769A">
            <w:pPr>
              <w:contextualSpacing/>
              <w:jc w:val="center"/>
              <w:rPr>
                <w:rFonts w:cs="Arial"/>
                <w:bCs/>
              </w:rPr>
            </w:pPr>
            <w:r>
              <w:rPr>
                <w:rFonts w:cs="Arial"/>
                <w:bCs/>
              </w:rPr>
              <w:t>4</w:t>
            </w:r>
            <w:r w:rsidRPr="00D65714">
              <w:rPr>
                <w:rFonts w:cs="Arial"/>
                <w:bCs/>
              </w:rPr>
              <w:t>9 4</w:t>
            </w:r>
            <w:r>
              <w:rPr>
                <w:rFonts w:cs="Arial"/>
                <w:bCs/>
              </w:rPr>
              <w:t>00</w:t>
            </w:r>
          </w:p>
        </w:tc>
      </w:tr>
      <w:tr w:rsidR="00405160" w:rsidRPr="00D65714" w14:paraId="2B63B162" w14:textId="77777777" w:rsidTr="002B769A">
        <w:trPr>
          <w:trHeight w:val="567"/>
          <w:jc w:val="center"/>
        </w:trPr>
        <w:tc>
          <w:tcPr>
            <w:tcW w:w="1668" w:type="dxa"/>
            <w:shd w:val="clear" w:color="auto" w:fill="E2EFD9" w:themeFill="accent6" w:themeFillTint="33"/>
            <w:vAlign w:val="center"/>
          </w:tcPr>
          <w:p w14:paraId="6A531AC2" w14:textId="77777777" w:rsidR="00405160" w:rsidRPr="001B3063" w:rsidRDefault="00405160" w:rsidP="002B769A">
            <w:pPr>
              <w:spacing w:before="120" w:after="120"/>
              <w:contextualSpacing/>
              <w:jc w:val="center"/>
              <w:rPr>
                <w:rFonts w:cs="Arial"/>
                <w:b/>
              </w:rPr>
            </w:pPr>
            <w:r w:rsidRPr="001B3063">
              <w:rPr>
                <w:rFonts w:cs="Arial"/>
                <w:b/>
              </w:rPr>
              <w:t>Coût de l’U.O</w:t>
            </w:r>
          </w:p>
        </w:tc>
        <w:tc>
          <w:tcPr>
            <w:tcW w:w="2094" w:type="dxa"/>
            <w:vAlign w:val="center"/>
          </w:tcPr>
          <w:p w14:paraId="11366BA8" w14:textId="77777777" w:rsidR="00405160" w:rsidRPr="00D65714" w:rsidRDefault="00405160" w:rsidP="002B769A">
            <w:pPr>
              <w:contextualSpacing/>
              <w:jc w:val="center"/>
              <w:rPr>
                <w:rFonts w:cs="Arial"/>
                <w:bCs/>
              </w:rPr>
            </w:pPr>
          </w:p>
        </w:tc>
        <w:tc>
          <w:tcPr>
            <w:tcW w:w="1456" w:type="dxa"/>
            <w:vAlign w:val="center"/>
          </w:tcPr>
          <w:p w14:paraId="6FCCC413" w14:textId="77777777" w:rsidR="00405160" w:rsidRPr="00D65714" w:rsidRDefault="00405160" w:rsidP="002B769A">
            <w:pPr>
              <w:contextualSpacing/>
              <w:jc w:val="center"/>
              <w:rPr>
                <w:rFonts w:cs="Arial"/>
                <w:bCs/>
              </w:rPr>
            </w:pPr>
          </w:p>
        </w:tc>
        <w:tc>
          <w:tcPr>
            <w:tcW w:w="1522" w:type="dxa"/>
            <w:vAlign w:val="center"/>
          </w:tcPr>
          <w:p w14:paraId="1D8B0803" w14:textId="77777777" w:rsidR="00405160" w:rsidRPr="00D65714" w:rsidRDefault="00405160" w:rsidP="002B769A">
            <w:pPr>
              <w:contextualSpacing/>
              <w:jc w:val="center"/>
              <w:rPr>
                <w:rFonts w:cs="Arial"/>
                <w:bCs/>
              </w:rPr>
            </w:pPr>
          </w:p>
        </w:tc>
        <w:tc>
          <w:tcPr>
            <w:tcW w:w="1888" w:type="dxa"/>
            <w:vAlign w:val="center"/>
          </w:tcPr>
          <w:p w14:paraId="79BF1F59" w14:textId="77777777" w:rsidR="00405160" w:rsidRPr="00D65714" w:rsidRDefault="00405160" w:rsidP="002B769A">
            <w:pPr>
              <w:contextualSpacing/>
              <w:jc w:val="center"/>
              <w:rPr>
                <w:rFonts w:cs="Arial"/>
                <w:bCs/>
              </w:rPr>
            </w:pPr>
          </w:p>
        </w:tc>
        <w:tc>
          <w:tcPr>
            <w:tcW w:w="1628" w:type="dxa"/>
            <w:vAlign w:val="center"/>
          </w:tcPr>
          <w:p w14:paraId="34228561" w14:textId="77777777" w:rsidR="00405160" w:rsidRPr="00D65714" w:rsidRDefault="00405160" w:rsidP="002B769A">
            <w:pPr>
              <w:contextualSpacing/>
              <w:jc w:val="center"/>
              <w:rPr>
                <w:rFonts w:cs="Arial"/>
                <w:bCs/>
              </w:rPr>
            </w:pPr>
          </w:p>
        </w:tc>
      </w:tr>
    </w:tbl>
    <w:p w14:paraId="2A98B998" w14:textId="77777777" w:rsidR="00405160" w:rsidRDefault="00405160" w:rsidP="00405160">
      <w:pPr>
        <w:tabs>
          <w:tab w:val="clear" w:pos="144"/>
          <w:tab w:val="clear" w:pos="864"/>
          <w:tab w:val="clear" w:pos="1584"/>
          <w:tab w:val="clear" w:pos="2304"/>
          <w:tab w:val="clear" w:pos="3024"/>
          <w:tab w:val="clear" w:pos="3744"/>
          <w:tab w:val="clear" w:pos="4464"/>
          <w:tab w:val="clear" w:pos="5184"/>
          <w:tab w:val="clear" w:pos="5904"/>
          <w:tab w:val="clear" w:pos="6624"/>
          <w:tab w:val="left" w:pos="5032"/>
          <w:tab w:val="left" w:pos="6733"/>
          <w:tab w:val="left" w:pos="8008"/>
        </w:tabs>
        <w:jc w:val="left"/>
        <w:rPr>
          <w:rFonts w:cs="Arial"/>
          <w:b/>
          <w:bCs/>
          <w:color w:val="000000"/>
          <w:sz w:val="18"/>
          <w:szCs w:val="18"/>
        </w:rPr>
      </w:pPr>
    </w:p>
    <w:p w14:paraId="1E97B0F0" w14:textId="77777777" w:rsidR="00EB2067" w:rsidRPr="00405160" w:rsidRDefault="00EB2067" w:rsidP="00405160"/>
    <w:sectPr w:rsidR="00EB2067" w:rsidRPr="00405160" w:rsidSect="00585F73">
      <w:pgSz w:w="11906" w:h="16838"/>
      <w:pgMar w:top="993" w:right="566"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460"/>
    <w:multiLevelType w:val="hybridMultilevel"/>
    <w:tmpl w:val="21FE70A2"/>
    <w:lvl w:ilvl="0" w:tplc="A0102E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04C3F2D"/>
    <w:multiLevelType w:val="hybridMultilevel"/>
    <w:tmpl w:val="58EA8EA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25851AA"/>
    <w:multiLevelType w:val="hybridMultilevel"/>
    <w:tmpl w:val="60807D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CFA2E2E"/>
    <w:multiLevelType w:val="hybridMultilevel"/>
    <w:tmpl w:val="8EF4C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9650A9D"/>
    <w:multiLevelType w:val="hybridMultilevel"/>
    <w:tmpl w:val="A4D071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58F4426"/>
    <w:multiLevelType w:val="hybridMultilevel"/>
    <w:tmpl w:val="AE1E4BEC"/>
    <w:lvl w:ilvl="0" w:tplc="A0102EC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2210174">
    <w:abstractNumId w:val="5"/>
  </w:num>
  <w:num w:numId="2" w16cid:durableId="1879538139">
    <w:abstractNumId w:val="3"/>
  </w:num>
  <w:num w:numId="3" w16cid:durableId="607157391">
    <w:abstractNumId w:val="6"/>
  </w:num>
  <w:num w:numId="4" w16cid:durableId="624969767">
    <w:abstractNumId w:val="4"/>
  </w:num>
  <w:num w:numId="5" w16cid:durableId="2093427444">
    <w:abstractNumId w:val="0"/>
  </w:num>
  <w:num w:numId="6" w16cid:durableId="1909488362">
    <w:abstractNumId w:val="1"/>
  </w:num>
  <w:num w:numId="7" w16cid:durableId="858738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7F"/>
    <w:rsid w:val="00123347"/>
    <w:rsid w:val="00132D23"/>
    <w:rsid w:val="00294A6F"/>
    <w:rsid w:val="003F61A6"/>
    <w:rsid w:val="00405160"/>
    <w:rsid w:val="004B3FFF"/>
    <w:rsid w:val="00585F73"/>
    <w:rsid w:val="00586770"/>
    <w:rsid w:val="005D5175"/>
    <w:rsid w:val="005F1B50"/>
    <w:rsid w:val="007A1E7F"/>
    <w:rsid w:val="0095750C"/>
    <w:rsid w:val="00AB1AE6"/>
    <w:rsid w:val="00C554E2"/>
    <w:rsid w:val="00D26069"/>
    <w:rsid w:val="00DA1FD0"/>
    <w:rsid w:val="00E15E66"/>
    <w:rsid w:val="00EB2067"/>
    <w:rsid w:val="00EC29DE"/>
    <w:rsid w:val="00FB2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5837"/>
  <w15:chartTrackingRefBased/>
  <w15:docId w15:val="{DD088F9B-5E8A-4A02-8159-D351BAC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E7F"/>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qFormat/>
    <w:rsid w:val="00E15E66"/>
    <w:pPr>
      <w:spacing w:before="120" w:after="120"/>
      <w:outlineLvl w:val="0"/>
    </w:pPr>
    <w:rPr>
      <w:rFonts w:cs="Arial"/>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A1E7F"/>
    <w:rPr>
      <w:color w:val="0000FF"/>
      <w:u w:val="single"/>
    </w:rPr>
  </w:style>
  <w:style w:type="table" w:styleId="Grilledutableau">
    <w:name w:val="Table Grid"/>
    <w:basedOn w:val="TableauNormal"/>
    <w:uiPriority w:val="59"/>
    <w:rsid w:val="007A1E7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itre 11"/>
    <w:basedOn w:val="Normal"/>
    <w:link w:val="SansinterligneCar"/>
    <w:uiPriority w:val="1"/>
    <w:qFormat/>
    <w:rsid w:val="007A1E7F"/>
    <w:pPr>
      <w:spacing w:before="120" w:after="240"/>
    </w:pPr>
    <w:rPr>
      <w:b/>
      <w:sz w:val="28"/>
      <w:szCs w:val="22"/>
    </w:rPr>
  </w:style>
  <w:style w:type="character" w:styleId="Accentuationlgre">
    <w:name w:val="Subtle Emphasis"/>
    <w:aliases w:val="Titre 111"/>
    <w:uiPriority w:val="19"/>
    <w:qFormat/>
    <w:rsid w:val="007A1E7F"/>
    <w:rPr>
      <w:rFonts w:ascii="Arial" w:hAnsi="Arial"/>
      <w:b/>
      <w:sz w:val="24"/>
    </w:rPr>
  </w:style>
  <w:style w:type="paragraph" w:styleId="Paragraphedeliste">
    <w:name w:val="List Paragraph"/>
    <w:basedOn w:val="Normal"/>
    <w:uiPriority w:val="34"/>
    <w:qFormat/>
    <w:rsid w:val="007A1E7F"/>
    <w:pPr>
      <w:ind w:left="720"/>
      <w:contextualSpacing/>
    </w:pPr>
  </w:style>
  <w:style w:type="character" w:customStyle="1" w:styleId="SansinterligneCar">
    <w:name w:val="Sans interligne Car"/>
    <w:aliases w:val="Titre 11 Car"/>
    <w:basedOn w:val="Policepardfaut"/>
    <w:link w:val="Sansinterligne"/>
    <w:uiPriority w:val="1"/>
    <w:rsid w:val="007A1E7F"/>
    <w:rPr>
      <w:rFonts w:ascii="Arial" w:eastAsia="Times New Roman" w:hAnsi="Arial" w:cs="Times New Roman"/>
      <w:b/>
      <w:sz w:val="28"/>
      <w:lang w:eastAsia="fr-FR"/>
    </w:rPr>
  </w:style>
  <w:style w:type="character" w:customStyle="1" w:styleId="Titre1Car">
    <w:name w:val="Titre 1 Car"/>
    <w:basedOn w:val="Policepardfaut"/>
    <w:link w:val="Titre1"/>
    <w:rsid w:val="00E15E66"/>
    <w:rPr>
      <w:rFonts w:ascii="Arial" w:eastAsia="Times New Roman" w:hAnsi="Arial" w:cs="Arial"/>
      <w:b/>
      <w:color w:val="000000"/>
      <w:sz w:val="3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789</Words>
  <Characters>4345</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17</cp:revision>
  <dcterms:created xsi:type="dcterms:W3CDTF">2014-07-12T22:24:00Z</dcterms:created>
  <dcterms:modified xsi:type="dcterms:W3CDTF">2024-04-06T21:33:00Z</dcterms:modified>
</cp:coreProperties>
</file>