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81" w:type="dxa"/>
        <w:shd w:val="clear" w:color="auto" w:fill="FFFF00"/>
        <w:tblLook w:val="04A0" w:firstRow="1" w:lastRow="0" w:firstColumn="1" w:lastColumn="0" w:noHBand="0" w:noVBand="1"/>
      </w:tblPr>
      <w:tblGrid>
        <w:gridCol w:w="1341"/>
        <w:gridCol w:w="7585"/>
        <w:gridCol w:w="1055"/>
      </w:tblGrid>
      <w:tr w:rsidR="0029205C" w:rsidRPr="0029205C" w14:paraId="0CA0BBE3" w14:textId="77777777" w:rsidTr="0029205C">
        <w:trPr>
          <w:trHeight w:val="386"/>
        </w:trPr>
        <w:tc>
          <w:tcPr>
            <w:tcW w:w="9981" w:type="dxa"/>
            <w:gridSpan w:val="3"/>
            <w:shd w:val="clear" w:color="auto" w:fill="FFFF00"/>
          </w:tcPr>
          <w:p w14:paraId="59B194A7" w14:textId="77777777" w:rsidR="0029205C" w:rsidRPr="0029205C" w:rsidRDefault="0029205C" w:rsidP="0029205C">
            <w:pPr>
              <w:pStyle w:val="Titre3"/>
              <w:spacing w:before="120" w:after="120"/>
              <w:jc w:val="center"/>
              <w:rPr>
                <w:sz w:val="28"/>
                <w:szCs w:val="28"/>
              </w:rPr>
            </w:pPr>
            <w:r w:rsidRPr="0029205C">
              <w:rPr>
                <w:sz w:val="28"/>
                <w:szCs w:val="28"/>
              </w:rPr>
              <w:t>Réflexion 1 - Identifier les clés de la communication institutionnelle</w:t>
            </w:r>
          </w:p>
        </w:tc>
      </w:tr>
      <w:tr w:rsidR="0029205C" w:rsidRPr="00BD36BB" w14:paraId="26F165F6" w14:textId="77777777" w:rsidTr="000964D5">
        <w:trPr>
          <w:trHeight w:val="504"/>
        </w:trPr>
        <w:tc>
          <w:tcPr>
            <w:tcW w:w="1341" w:type="dxa"/>
            <w:shd w:val="clear" w:color="auto" w:fill="FFFF00"/>
            <w:vAlign w:val="center"/>
          </w:tcPr>
          <w:p w14:paraId="0D54B88D" w14:textId="50606431" w:rsidR="0029205C" w:rsidRPr="00BD36BB" w:rsidRDefault="0029205C" w:rsidP="0027025C">
            <w:pPr>
              <w:rPr>
                <w:rFonts w:cs="Arial"/>
              </w:rPr>
            </w:pPr>
            <w:r w:rsidRPr="00D07076">
              <w:rPr>
                <w:rFonts w:cs="Arial"/>
                <w:bCs/>
              </w:rPr>
              <w:t>Durée</w:t>
            </w:r>
            <w:r>
              <w:rPr>
                <w:rFonts w:cs="Arial"/>
              </w:rPr>
              <w:t xml:space="preserve"> : </w:t>
            </w:r>
            <w:r w:rsidR="000964D5">
              <w:rPr>
                <w:rFonts w:cs="Arial"/>
              </w:rPr>
              <w:t>20</w:t>
            </w:r>
            <w:r>
              <w:rPr>
                <w:rFonts w:cs="Arial"/>
              </w:rPr>
              <w:t>’</w:t>
            </w:r>
          </w:p>
        </w:tc>
        <w:tc>
          <w:tcPr>
            <w:tcW w:w="7585" w:type="dxa"/>
            <w:shd w:val="clear" w:color="auto" w:fill="FFFF00"/>
            <w:vAlign w:val="center"/>
          </w:tcPr>
          <w:p w14:paraId="0638BED6" w14:textId="42F872BD" w:rsidR="0029205C" w:rsidRPr="00BD36BB" w:rsidRDefault="009C214D" w:rsidP="0027025C">
            <w:pPr>
              <w:jc w:val="center"/>
              <w:rPr>
                <w:rFonts w:cs="Arial"/>
              </w:rPr>
            </w:pPr>
            <w:r>
              <w:rPr>
                <w:bCs/>
                <w:noProof/>
              </w:rPr>
              <w:drawing>
                <wp:inline distT="0" distB="0" distL="0" distR="0" wp14:anchorId="220EC195" wp14:editId="185D00E8">
                  <wp:extent cx="322580" cy="322580"/>
                  <wp:effectExtent l="0" t="0" r="0" b="1270"/>
                  <wp:docPr id="2026587742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87742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38D4"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2B25358A" wp14:editId="4468E9F6">
                  <wp:extent cx="370840" cy="322580"/>
                  <wp:effectExtent l="0" t="0" r="0" b="1270"/>
                  <wp:docPr id="754983025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83025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74" b="6256"/>
                          <a:stretch/>
                        </pic:blipFill>
                        <pic:spPr bwMode="auto">
                          <a:xfrm>
                            <a:off x="0" y="0"/>
                            <a:ext cx="36893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shd w:val="clear" w:color="auto" w:fill="FFFF00"/>
            <w:vAlign w:val="center"/>
          </w:tcPr>
          <w:p w14:paraId="49FDC167" w14:textId="77777777" w:rsidR="0029205C" w:rsidRPr="00D07076" w:rsidRDefault="0029205C" w:rsidP="0027025C">
            <w:pPr>
              <w:jc w:val="center"/>
              <w:rPr>
                <w:rFonts w:cs="Arial"/>
                <w:bCs/>
              </w:rPr>
            </w:pPr>
            <w:r w:rsidRPr="00D07076">
              <w:rPr>
                <w:rFonts w:cs="Arial"/>
                <w:bCs/>
              </w:rPr>
              <w:t>Source</w:t>
            </w:r>
          </w:p>
        </w:tc>
      </w:tr>
    </w:tbl>
    <w:p w14:paraId="1C96AF41" w14:textId="77777777" w:rsidR="000964D5" w:rsidRPr="0029205C" w:rsidRDefault="000964D5" w:rsidP="000964D5">
      <w:pPr>
        <w:tabs>
          <w:tab w:val="left" w:pos="1951"/>
        </w:tabs>
        <w:spacing w:before="120" w:after="120"/>
        <w:jc w:val="left"/>
        <w:rPr>
          <w:rFonts w:cs="Arial"/>
          <w:b/>
          <w:sz w:val="24"/>
          <w:szCs w:val="24"/>
        </w:rPr>
      </w:pPr>
      <w:r w:rsidRPr="0029205C">
        <w:rPr>
          <w:rFonts w:cs="Arial"/>
          <w:b/>
          <w:sz w:val="24"/>
          <w:szCs w:val="24"/>
        </w:rPr>
        <w:t>Travail à faire</w:t>
      </w:r>
      <w:r w:rsidRPr="0029205C">
        <w:rPr>
          <w:rFonts w:cs="Arial"/>
          <w:b/>
          <w:sz w:val="24"/>
          <w:szCs w:val="24"/>
        </w:rPr>
        <w:tab/>
      </w:r>
    </w:p>
    <w:p w14:paraId="5BCE0330" w14:textId="77777777" w:rsidR="000964D5" w:rsidRPr="000964D5" w:rsidRDefault="000964D5" w:rsidP="000964D5">
      <w:p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0964D5">
        <w:rPr>
          <w:bCs/>
          <w:szCs w:val="20"/>
        </w:rPr>
        <w:t>Après avoir lu le document, répondez aux questions suivantes :</w:t>
      </w:r>
    </w:p>
    <w:p w14:paraId="095D3995" w14:textId="77777777" w:rsidR="000964D5" w:rsidRPr="000964D5" w:rsidRDefault="000964D5" w:rsidP="000964D5">
      <w:pPr>
        <w:pStyle w:val="Paragraphedeliste"/>
        <w:numPr>
          <w:ilvl w:val="0"/>
          <w:numId w:val="3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0964D5">
        <w:rPr>
          <w:bCs/>
          <w:szCs w:val="20"/>
        </w:rPr>
        <w:t>Quelle est la différence entre la communication institutionnelle et la communication commerciale ?</w:t>
      </w:r>
    </w:p>
    <w:p w14:paraId="5E00CE0C" w14:textId="77777777" w:rsidR="000964D5" w:rsidRPr="000964D5" w:rsidRDefault="000964D5" w:rsidP="000964D5">
      <w:pPr>
        <w:pStyle w:val="Paragraphedeliste"/>
        <w:numPr>
          <w:ilvl w:val="0"/>
          <w:numId w:val="3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0964D5">
        <w:rPr>
          <w:bCs/>
          <w:szCs w:val="20"/>
        </w:rPr>
        <w:t>Quelles sont les cibles de la communication institutionnelle ?</w:t>
      </w:r>
    </w:p>
    <w:p w14:paraId="0EB2F952" w14:textId="77777777" w:rsidR="000964D5" w:rsidRPr="000964D5" w:rsidRDefault="000964D5" w:rsidP="000964D5">
      <w:pPr>
        <w:pStyle w:val="Paragraphedeliste"/>
        <w:numPr>
          <w:ilvl w:val="0"/>
          <w:numId w:val="3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0964D5">
        <w:rPr>
          <w:bCs/>
          <w:szCs w:val="20"/>
        </w:rPr>
        <w:t>Quelles est l’obligation de l’entreprise pour bien communiquer ?</w:t>
      </w:r>
    </w:p>
    <w:p w14:paraId="61E13D49" w14:textId="77777777" w:rsidR="000964D5" w:rsidRPr="000964D5" w:rsidRDefault="000964D5" w:rsidP="000964D5">
      <w:pPr>
        <w:pStyle w:val="Paragraphedeliste"/>
        <w:numPr>
          <w:ilvl w:val="0"/>
          <w:numId w:val="3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0964D5">
        <w:rPr>
          <w:bCs/>
          <w:szCs w:val="20"/>
        </w:rPr>
        <w:t xml:space="preserve">Quel est l’intérêt de recourir au </w:t>
      </w:r>
      <w:proofErr w:type="gramStart"/>
      <w:r w:rsidRPr="000964D5">
        <w:rPr>
          <w:bCs/>
          <w:szCs w:val="20"/>
        </w:rPr>
        <w:t>sponsoring</w:t>
      </w:r>
      <w:proofErr w:type="gramEnd"/>
      <w:r w:rsidRPr="000964D5">
        <w:rPr>
          <w:bCs/>
          <w:szCs w:val="20"/>
        </w:rPr>
        <w:t xml:space="preserve"> ou au mécénat ?</w:t>
      </w:r>
    </w:p>
    <w:p w14:paraId="65522D09" w14:textId="77777777" w:rsidR="000964D5" w:rsidRDefault="000964D5" w:rsidP="0029205C">
      <w:pPr>
        <w:spacing w:before="120"/>
        <w:rPr>
          <w:rFonts w:eastAsia="Times New Roman" w:cs="Arial"/>
          <w:b/>
          <w:sz w:val="24"/>
          <w:lang w:eastAsia="fr-FR"/>
        </w:rPr>
      </w:pPr>
    </w:p>
    <w:p w14:paraId="3F9B4100" w14:textId="5603CB0E" w:rsidR="0029205C" w:rsidRDefault="0029205C" w:rsidP="0029205C">
      <w:r w:rsidRPr="002A6F7C">
        <w:rPr>
          <w:b/>
          <w:color w:val="FFFFFF" w:themeColor="background1"/>
          <w:sz w:val="24"/>
          <w:highlight w:val="red"/>
        </w:rPr>
        <w:t>Doc. </w:t>
      </w:r>
      <w:r w:rsidRPr="002A6F7C">
        <w:rPr>
          <w:b/>
          <w:color w:val="FFFFFF" w:themeColor="background1"/>
          <w:sz w:val="24"/>
        </w:rPr>
        <w:t xml:space="preserve"> </w:t>
      </w:r>
      <w:r w:rsidRPr="002A6F7C">
        <w:rPr>
          <w:b/>
          <w:bCs/>
          <w:sz w:val="24"/>
          <w:szCs w:val="28"/>
        </w:rPr>
        <w:t>Communication institutionnelle</w:t>
      </w:r>
    </w:p>
    <w:p w14:paraId="42197DE2" w14:textId="77777777" w:rsidR="0029205C" w:rsidRPr="002A6F7C" w:rsidRDefault="0029205C" w:rsidP="0029205C">
      <w:pPr>
        <w:spacing w:before="120"/>
        <w:jc w:val="left"/>
        <w:rPr>
          <w:rFonts w:eastAsia="Times New Roman" w:cs="Arial"/>
          <w:bCs/>
          <w:i/>
          <w:sz w:val="16"/>
          <w:lang w:eastAsia="fr-FR"/>
        </w:rPr>
      </w:pPr>
      <w:r w:rsidRPr="002A6F7C">
        <w:rPr>
          <w:rFonts w:eastAsia="Times New Roman" w:cs="Arial"/>
          <w:bCs/>
          <w:i/>
          <w:sz w:val="16"/>
          <w:lang w:eastAsia="fr-FR"/>
        </w:rPr>
        <w:t>Source</w:t>
      </w:r>
      <w:r>
        <w:rPr>
          <w:rFonts w:eastAsia="Times New Roman" w:cs="Arial"/>
          <w:bCs/>
          <w:i/>
          <w:sz w:val="16"/>
          <w:lang w:eastAsia="fr-FR"/>
        </w:rPr>
        <w:t xml:space="preserve"> : </w:t>
      </w:r>
      <w:r w:rsidRPr="002A6F7C">
        <w:rPr>
          <w:rFonts w:eastAsia="Times New Roman" w:cs="Arial"/>
          <w:bCs/>
          <w:i/>
          <w:sz w:val="16"/>
          <w:lang w:eastAsia="fr-FR"/>
        </w:rPr>
        <w:t>https://www.manager-go.com/marketing/com-instit.htm</w:t>
      </w:r>
    </w:p>
    <w:p w14:paraId="66FF1B9E" w14:textId="77777777" w:rsidR="0029205C" w:rsidRPr="002A6F7C" w:rsidRDefault="0029205C" w:rsidP="0029205C">
      <w:pPr>
        <w:pStyle w:val="Titre3"/>
        <w:spacing w:before="240"/>
        <w:rPr>
          <w:rFonts w:cs="Arial"/>
        </w:rPr>
      </w:pPr>
      <w:r w:rsidRPr="002A6F7C">
        <w:rPr>
          <w:rFonts w:cs="Arial"/>
        </w:rPr>
        <w:t>Définition</w:t>
      </w:r>
    </w:p>
    <w:p w14:paraId="63D37867" w14:textId="77777777" w:rsidR="0029205C" w:rsidRPr="002A6F7C" w:rsidRDefault="0029205C" w:rsidP="0029205C">
      <w:pPr>
        <w:spacing w:before="120"/>
        <w:rPr>
          <w:rFonts w:cs="Arial"/>
          <w:sz w:val="24"/>
          <w:szCs w:val="24"/>
        </w:rPr>
      </w:pPr>
      <w:r w:rsidRPr="002A6F7C">
        <w:rPr>
          <w:rFonts w:cs="Arial"/>
        </w:rPr>
        <w:t xml:space="preserve">Nommée aussi communication </w:t>
      </w:r>
      <w:proofErr w:type="spellStart"/>
      <w:r w:rsidRPr="002A6F7C">
        <w:rPr>
          <w:rFonts w:cs="Arial"/>
        </w:rPr>
        <w:t>corporate</w:t>
      </w:r>
      <w:proofErr w:type="spellEnd"/>
      <w:r w:rsidRPr="002A6F7C">
        <w:rPr>
          <w:rFonts w:cs="Arial"/>
        </w:rPr>
        <w:t>.</w:t>
      </w:r>
    </w:p>
    <w:p w14:paraId="42BEF8DC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>Il s'agit des actions tendant à</w:t>
      </w:r>
      <w:r w:rsidRPr="002A6F7C">
        <w:rPr>
          <w:rStyle w:val="lev"/>
          <w:rFonts w:cs="Arial"/>
          <w:color w:val="2C3E50"/>
        </w:rPr>
        <w:t xml:space="preserve"> imposer l'entreprise comme une institution dans son univers</w:t>
      </w:r>
      <w:r w:rsidRPr="002A6F7C">
        <w:rPr>
          <w:rFonts w:cs="Arial"/>
        </w:rPr>
        <w:t>. Contrairement à la promotion d'une offre de produits ou de services, seule l'image de l'entreprise est mise en avant.</w:t>
      </w:r>
      <w:r w:rsidRPr="002A6F7C">
        <w:rPr>
          <w:rStyle w:val="lev"/>
          <w:rFonts w:cs="Arial"/>
          <w:color w:val="2C3E50"/>
        </w:rPr>
        <w:t xml:space="preserve"> Le but est de développer ou de renforcer cette image, ou simplement faire connaître l’organisation et ses valeurs.</w:t>
      </w:r>
    </w:p>
    <w:p w14:paraId="335DE9E9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 xml:space="preserve">Les </w:t>
      </w:r>
      <w:r w:rsidRPr="002A6F7C">
        <w:rPr>
          <w:rStyle w:val="lev"/>
          <w:rFonts w:cs="Arial"/>
          <w:color w:val="2C3E50"/>
        </w:rPr>
        <w:t>cibles</w:t>
      </w:r>
      <w:r w:rsidRPr="002A6F7C">
        <w:rPr>
          <w:rFonts w:cs="Arial"/>
        </w:rPr>
        <w:t xml:space="preserve"> sont aussi bien </w:t>
      </w:r>
      <w:r w:rsidRPr="002A6F7C">
        <w:rPr>
          <w:rStyle w:val="lev"/>
          <w:rFonts w:cs="Arial"/>
          <w:color w:val="2C3E50"/>
        </w:rPr>
        <w:t>internes</w:t>
      </w:r>
      <w:r w:rsidRPr="002A6F7C">
        <w:rPr>
          <w:rFonts w:cs="Arial"/>
        </w:rPr>
        <w:t xml:space="preserve"> (collaborateurs, actionnaires...) </w:t>
      </w:r>
      <w:r w:rsidRPr="002A6F7C">
        <w:rPr>
          <w:rStyle w:val="lev"/>
          <w:rFonts w:cs="Arial"/>
          <w:color w:val="2C3E50"/>
        </w:rPr>
        <w:t>qu'externes</w:t>
      </w:r>
      <w:r w:rsidRPr="002A6F7C">
        <w:rPr>
          <w:rFonts w:cs="Arial"/>
        </w:rPr>
        <w:t xml:space="preserve"> (clients, prospects, fournisseurs, prescripteurs, banquiers, investisseurs, leaders d'opinion...).</w:t>
      </w:r>
    </w:p>
    <w:p w14:paraId="34E36F41" w14:textId="77777777" w:rsidR="0029205C" w:rsidRPr="002A6F7C" w:rsidRDefault="0029205C" w:rsidP="0029205C">
      <w:pPr>
        <w:pStyle w:val="Titre3"/>
        <w:spacing w:before="240"/>
        <w:rPr>
          <w:rFonts w:cs="Arial"/>
        </w:rPr>
      </w:pPr>
      <w:r w:rsidRPr="002A6F7C">
        <w:rPr>
          <w:rFonts w:cs="Arial"/>
        </w:rPr>
        <w:t>Enjeux de la fonction</w:t>
      </w:r>
    </w:p>
    <w:p w14:paraId="142FE1C3" w14:textId="77777777" w:rsidR="0029205C" w:rsidRPr="002A6F7C" w:rsidRDefault="0029205C" w:rsidP="0029205C">
      <w:pPr>
        <w:spacing w:before="120"/>
        <w:rPr>
          <w:rFonts w:cs="Arial"/>
          <w:sz w:val="24"/>
          <w:szCs w:val="24"/>
        </w:rPr>
      </w:pPr>
      <w:r w:rsidRPr="002A6F7C">
        <w:rPr>
          <w:rFonts w:cs="Arial"/>
        </w:rPr>
        <w:t xml:space="preserve">Comme vu précédemment, l'objectif n'est pas la vente directe, mais l'installation d'une image voulue dans la tête des parties prenantes à partir de messages savamment distillés. </w:t>
      </w:r>
      <w:r w:rsidRPr="002A6F7C">
        <w:rPr>
          <w:rStyle w:val="lev"/>
          <w:rFonts w:cs="Arial"/>
          <w:color w:val="2C3E50"/>
        </w:rPr>
        <w:t>Ils affirment l'identité de l’organisation à travers un certain nombre de valeurs.</w:t>
      </w:r>
    </w:p>
    <w:p w14:paraId="0BF4C4D1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 xml:space="preserve">Cette approche présente l'avantage de communiquer autrement que par l’instauration d'une force de vente conséquente, bien que les effets ne soient généralement pas mesurables à court terme. Elle s'appuie sur des </w:t>
      </w:r>
      <w:r w:rsidRPr="002A6F7C">
        <w:rPr>
          <w:rStyle w:val="lev"/>
          <w:rFonts w:cs="Arial"/>
          <w:color w:val="2C3E50"/>
        </w:rPr>
        <w:t>supports médias et hors médias.</w:t>
      </w:r>
    </w:p>
    <w:p w14:paraId="482F4AA3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>Le marketing RH partage certains objectifs avec cette fonction. Par exemple attirer des talents pour un recrutement de futurs salariés à haut potentiel par une culture et un cadre de travail attrayant. </w:t>
      </w:r>
    </w:p>
    <w:p w14:paraId="594F1858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 xml:space="preserve">Avec internet et les réseaux sociaux, </w:t>
      </w:r>
      <w:r w:rsidRPr="002A6F7C">
        <w:rPr>
          <w:rStyle w:val="lev"/>
          <w:rFonts w:cs="Arial"/>
          <w:color w:val="2C3E50"/>
        </w:rPr>
        <w:t>ce type de communication connait des limites.</w:t>
      </w:r>
      <w:r w:rsidRPr="002A6F7C">
        <w:rPr>
          <w:rFonts w:cs="Arial"/>
        </w:rPr>
        <w:t> Certains messages passés par les collaborateurs sur ces médias peuvent brouiller l'image de l'entreprise. Plus que jamais s'engager dans de telles actions requière</w:t>
      </w:r>
      <w:r w:rsidRPr="002A6F7C">
        <w:rPr>
          <w:rStyle w:val="lev"/>
          <w:rFonts w:cs="Arial"/>
          <w:color w:val="2C3E50"/>
        </w:rPr>
        <w:t> une cohérence des plus parfaite entre ses paroles et ses actes</w:t>
      </w:r>
      <w:r w:rsidRPr="002A6F7C">
        <w:rPr>
          <w:rFonts w:cs="Arial"/>
        </w:rPr>
        <w:t>.</w:t>
      </w:r>
    </w:p>
    <w:p w14:paraId="4A65CC99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 xml:space="preserve">L'impact grandissant des collaborateurs dans la construction de l'image externe justifie et renforce </w:t>
      </w:r>
      <w:r w:rsidRPr="002A6F7C">
        <w:rPr>
          <w:rStyle w:val="lev"/>
          <w:rFonts w:cs="Arial"/>
          <w:color w:val="2C3E50"/>
        </w:rPr>
        <w:t>l'importance d'une bonne communication interne</w:t>
      </w:r>
      <w:r w:rsidRPr="002A6F7C">
        <w:rPr>
          <w:rFonts w:cs="Arial"/>
        </w:rPr>
        <w:t>.</w:t>
      </w:r>
    </w:p>
    <w:p w14:paraId="3E66E140" w14:textId="77777777" w:rsidR="0029205C" w:rsidRPr="002A6F7C" w:rsidRDefault="0029205C" w:rsidP="0029205C">
      <w:pPr>
        <w:pStyle w:val="Titre3"/>
        <w:spacing w:before="240"/>
        <w:rPr>
          <w:rFonts w:cs="Arial"/>
        </w:rPr>
      </w:pPr>
      <w:r w:rsidRPr="002A6F7C">
        <w:rPr>
          <w:rFonts w:cs="Arial"/>
        </w:rPr>
        <w:t>La communication financière</w:t>
      </w:r>
    </w:p>
    <w:p w14:paraId="0BDC1BA9" w14:textId="77777777" w:rsidR="0029205C" w:rsidRPr="002A6F7C" w:rsidRDefault="0029205C" w:rsidP="0029205C">
      <w:pPr>
        <w:spacing w:before="120"/>
        <w:rPr>
          <w:rFonts w:cs="Arial"/>
          <w:sz w:val="24"/>
          <w:szCs w:val="24"/>
        </w:rPr>
      </w:pPr>
      <w:r w:rsidRPr="002A6F7C">
        <w:rPr>
          <w:rFonts w:cs="Arial"/>
        </w:rPr>
        <w:t>Pour les sociétés cotées, elle est intégrée dans des plans visant à promouvoir la performance de l'entreprise à travers ses résultats financiers.</w:t>
      </w:r>
    </w:p>
    <w:p w14:paraId="161DD9D8" w14:textId="77777777" w:rsidR="0029205C" w:rsidRPr="002A6F7C" w:rsidRDefault="0029205C" w:rsidP="0029205C">
      <w:pPr>
        <w:pStyle w:val="Titre3"/>
        <w:spacing w:before="240"/>
        <w:rPr>
          <w:rFonts w:cs="Arial"/>
        </w:rPr>
      </w:pPr>
      <w:r w:rsidRPr="002A6F7C">
        <w:rPr>
          <w:rFonts w:cs="Arial"/>
        </w:rPr>
        <w:t>La communication institutionnelle hors média</w:t>
      </w:r>
    </w:p>
    <w:p w14:paraId="123AF6D5" w14:textId="77777777" w:rsidR="0029205C" w:rsidRPr="002A6F7C" w:rsidRDefault="0029205C" w:rsidP="0029205C">
      <w:pPr>
        <w:spacing w:before="120"/>
        <w:rPr>
          <w:rFonts w:cs="Arial"/>
          <w:sz w:val="24"/>
          <w:szCs w:val="24"/>
        </w:rPr>
      </w:pPr>
      <w:r w:rsidRPr="002A6F7C">
        <w:rPr>
          <w:rFonts w:cs="Arial"/>
        </w:rPr>
        <w:t xml:space="preserve">Pour ce type d'actions, l'entreprise a comme objectif d'améliorer sa notoriété et son image de marque </w:t>
      </w:r>
      <w:r w:rsidRPr="002A6F7C">
        <w:rPr>
          <w:rStyle w:val="lev"/>
          <w:rFonts w:cs="Arial"/>
          <w:color w:val="2C3E50"/>
        </w:rPr>
        <w:t>en investissant financièrement ou par toute autre voie, en faveur d'une personne, d'une organisation, d'un événement, etc.</w:t>
      </w:r>
    </w:p>
    <w:p w14:paraId="7B1C082A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>Elle transmet par ce canal un message sur son existence et les valeurs qu'elle transmet.</w:t>
      </w:r>
    </w:p>
    <w:p w14:paraId="7D723BB3" w14:textId="77777777" w:rsidR="0029205C" w:rsidRPr="002A6F7C" w:rsidRDefault="0029205C" w:rsidP="0029205C">
      <w:pPr>
        <w:spacing w:before="120"/>
        <w:rPr>
          <w:rFonts w:cs="Arial"/>
        </w:rPr>
      </w:pPr>
      <w:r w:rsidRPr="002A6F7C">
        <w:rPr>
          <w:rFonts w:cs="Arial"/>
        </w:rPr>
        <w:t xml:space="preserve">Elle prend la forme d'actions de </w:t>
      </w:r>
      <w:proofErr w:type="gramStart"/>
      <w:r w:rsidRPr="002A6F7C">
        <w:rPr>
          <w:rStyle w:val="lev"/>
          <w:rFonts w:cs="Arial"/>
          <w:color w:val="2C3E50"/>
        </w:rPr>
        <w:t>sponsoring</w:t>
      </w:r>
      <w:proofErr w:type="gramEnd"/>
      <w:r w:rsidRPr="002A6F7C">
        <w:rPr>
          <w:rFonts w:cs="Arial"/>
        </w:rPr>
        <w:t xml:space="preserve">, </w:t>
      </w:r>
      <w:r w:rsidRPr="002A6F7C">
        <w:rPr>
          <w:rStyle w:val="lev"/>
          <w:rFonts w:cs="Arial"/>
          <w:color w:val="2C3E50"/>
        </w:rPr>
        <w:t xml:space="preserve">mécénat </w:t>
      </w:r>
      <w:r w:rsidRPr="002A6F7C">
        <w:rPr>
          <w:rFonts w:cs="Arial"/>
        </w:rPr>
        <w:t>et autres parrainages.</w:t>
      </w:r>
    </w:p>
    <w:p w14:paraId="22693964" w14:textId="77777777" w:rsidR="0029205C" w:rsidRDefault="0029205C" w:rsidP="0029205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72CFDBE2" w14:textId="77777777" w:rsidR="000964D5" w:rsidRDefault="000964D5" w:rsidP="0029205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6B6E83B0" w14:textId="77777777" w:rsidR="000964D5" w:rsidRDefault="000964D5" w:rsidP="0029205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7D895858" w14:textId="77777777" w:rsidR="000964D5" w:rsidRDefault="000964D5" w:rsidP="0029205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7274351C" w14:textId="77777777" w:rsidR="000964D5" w:rsidRPr="002A6F7C" w:rsidRDefault="000964D5" w:rsidP="0029205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15AA2CAC" w14:textId="15183FFC" w:rsidR="0029205C" w:rsidRPr="0029205C" w:rsidRDefault="000964D5" w:rsidP="000964D5">
      <w:pPr>
        <w:tabs>
          <w:tab w:val="left" w:pos="1951"/>
        </w:tabs>
        <w:spacing w:before="120" w:after="12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Réponses</w:t>
      </w:r>
      <w:r w:rsidR="0029205C" w:rsidRPr="0029205C">
        <w:rPr>
          <w:rFonts w:cs="Arial"/>
          <w:b/>
          <w:sz w:val="24"/>
          <w:szCs w:val="24"/>
        </w:rPr>
        <w:tab/>
      </w:r>
    </w:p>
    <w:p w14:paraId="26AA7682" w14:textId="362A803E" w:rsidR="0029205C" w:rsidRPr="000964D5" w:rsidRDefault="0029205C" w:rsidP="000964D5">
      <w:pPr>
        <w:pStyle w:val="Paragraphedeliste"/>
        <w:numPr>
          <w:ilvl w:val="0"/>
          <w:numId w:val="4"/>
        </w:numPr>
        <w:tabs>
          <w:tab w:val="left" w:pos="1951"/>
        </w:tabs>
        <w:spacing w:before="120" w:after="120"/>
        <w:ind w:left="360"/>
        <w:jc w:val="left"/>
        <w:rPr>
          <w:bCs/>
          <w:sz w:val="22"/>
        </w:rPr>
      </w:pPr>
      <w:r w:rsidRPr="000964D5">
        <w:rPr>
          <w:bCs/>
          <w:sz w:val="22"/>
        </w:rPr>
        <w:t>Quelle est la différence entre la communication institutionnelle et la communication commerciale ?</w:t>
      </w:r>
    </w:p>
    <w:p w14:paraId="17869933" w14:textId="29083835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3B6106B2" w14:textId="77777777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74911A7C" w14:textId="144AB268" w:rsidR="0029205C" w:rsidRPr="000964D5" w:rsidRDefault="0029205C" w:rsidP="000964D5">
      <w:pPr>
        <w:pStyle w:val="Paragraphedeliste"/>
        <w:numPr>
          <w:ilvl w:val="0"/>
          <w:numId w:val="4"/>
        </w:numPr>
        <w:tabs>
          <w:tab w:val="left" w:pos="1951"/>
        </w:tabs>
        <w:spacing w:before="120" w:after="120"/>
        <w:ind w:left="360"/>
        <w:jc w:val="left"/>
        <w:rPr>
          <w:bCs/>
          <w:sz w:val="22"/>
        </w:rPr>
      </w:pPr>
      <w:r w:rsidRPr="000964D5">
        <w:rPr>
          <w:bCs/>
          <w:sz w:val="22"/>
        </w:rPr>
        <w:t>Quelles sont les cibles de la communication institutionnelle ?</w:t>
      </w:r>
    </w:p>
    <w:p w14:paraId="10AB0E29" w14:textId="67A4127F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1C668D19" w14:textId="77777777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4B8FD325" w14:textId="77777777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7DB20F43" w14:textId="253FAE55" w:rsidR="0029205C" w:rsidRPr="000964D5" w:rsidRDefault="0029205C" w:rsidP="000964D5">
      <w:pPr>
        <w:pStyle w:val="Paragraphedeliste"/>
        <w:numPr>
          <w:ilvl w:val="0"/>
          <w:numId w:val="4"/>
        </w:numPr>
        <w:tabs>
          <w:tab w:val="left" w:pos="1951"/>
        </w:tabs>
        <w:spacing w:before="120" w:after="120"/>
        <w:ind w:left="360"/>
        <w:jc w:val="left"/>
        <w:rPr>
          <w:bCs/>
          <w:sz w:val="22"/>
        </w:rPr>
      </w:pPr>
      <w:r w:rsidRPr="000964D5">
        <w:rPr>
          <w:bCs/>
          <w:sz w:val="22"/>
        </w:rPr>
        <w:t>Quelles est l’obligation de l’entreprise pour bien communiquer ?</w:t>
      </w:r>
    </w:p>
    <w:p w14:paraId="170FB9D7" w14:textId="15DE5F72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0F00479F" w14:textId="18C862E0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5A85E31F" w14:textId="77777777" w:rsidR="0029205C" w:rsidRPr="0029205C" w:rsidRDefault="0029205C" w:rsidP="000964D5">
      <w:pPr>
        <w:tabs>
          <w:tab w:val="left" w:pos="1951"/>
        </w:tabs>
        <w:spacing w:before="120" w:after="120"/>
        <w:jc w:val="left"/>
        <w:rPr>
          <w:bCs/>
          <w:sz w:val="22"/>
        </w:rPr>
      </w:pPr>
    </w:p>
    <w:p w14:paraId="3300863C" w14:textId="77777777" w:rsidR="0029205C" w:rsidRPr="000964D5" w:rsidRDefault="0029205C" w:rsidP="000964D5">
      <w:pPr>
        <w:pStyle w:val="Paragraphedeliste"/>
        <w:numPr>
          <w:ilvl w:val="0"/>
          <w:numId w:val="4"/>
        </w:numPr>
        <w:tabs>
          <w:tab w:val="left" w:pos="1951"/>
        </w:tabs>
        <w:spacing w:before="120" w:after="120"/>
        <w:ind w:left="360"/>
        <w:jc w:val="left"/>
        <w:rPr>
          <w:bCs/>
          <w:sz w:val="22"/>
        </w:rPr>
      </w:pPr>
      <w:r w:rsidRPr="000964D5">
        <w:rPr>
          <w:bCs/>
          <w:sz w:val="22"/>
        </w:rPr>
        <w:t xml:space="preserve">Quel est l’intérêt de recourir au </w:t>
      </w:r>
      <w:proofErr w:type="gramStart"/>
      <w:r w:rsidRPr="000964D5">
        <w:rPr>
          <w:bCs/>
          <w:sz w:val="22"/>
        </w:rPr>
        <w:t>sponsoring</w:t>
      </w:r>
      <w:proofErr w:type="gramEnd"/>
      <w:r w:rsidRPr="000964D5">
        <w:rPr>
          <w:bCs/>
          <w:sz w:val="22"/>
        </w:rPr>
        <w:t xml:space="preserve"> ou au mécénat ?</w:t>
      </w:r>
    </w:p>
    <w:p w14:paraId="185E00E0" w14:textId="77777777" w:rsidR="0011531A" w:rsidRPr="0029205C" w:rsidRDefault="0011531A" w:rsidP="0029205C">
      <w:pPr>
        <w:rPr>
          <w:sz w:val="22"/>
        </w:rPr>
      </w:pPr>
    </w:p>
    <w:sectPr w:rsidR="0011531A" w:rsidRPr="0029205C" w:rsidSect="00400AB6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B4"/>
    <w:multiLevelType w:val="hybridMultilevel"/>
    <w:tmpl w:val="2C38CE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95183"/>
    <w:multiLevelType w:val="hybridMultilevel"/>
    <w:tmpl w:val="B150BB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B4645"/>
    <w:multiLevelType w:val="hybridMultilevel"/>
    <w:tmpl w:val="11961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F1D84"/>
    <w:multiLevelType w:val="hybridMultilevel"/>
    <w:tmpl w:val="F4307A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57322">
    <w:abstractNumId w:val="3"/>
  </w:num>
  <w:num w:numId="2" w16cid:durableId="1020354838">
    <w:abstractNumId w:val="1"/>
  </w:num>
  <w:num w:numId="3" w16cid:durableId="226232652">
    <w:abstractNumId w:val="0"/>
  </w:num>
  <w:num w:numId="4" w16cid:durableId="160924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E3"/>
    <w:rsid w:val="000964D5"/>
    <w:rsid w:val="0011531A"/>
    <w:rsid w:val="0029205C"/>
    <w:rsid w:val="00382E52"/>
    <w:rsid w:val="00400AB6"/>
    <w:rsid w:val="00450C76"/>
    <w:rsid w:val="00475111"/>
    <w:rsid w:val="00946040"/>
    <w:rsid w:val="009C214D"/>
    <w:rsid w:val="00A77EE3"/>
    <w:rsid w:val="00F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7D99"/>
  <w15:chartTrackingRefBased/>
  <w15:docId w15:val="{BDFFE591-B94B-432F-911D-5ADFD23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E3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20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77EE3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77EE3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A77EE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77E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7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77EE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292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2014-10-10T12:13:00Z</dcterms:created>
  <dcterms:modified xsi:type="dcterms:W3CDTF">2024-03-19T14:43:00Z</dcterms:modified>
</cp:coreProperties>
</file>