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83" w:type="dxa"/>
        <w:shd w:val="clear" w:color="auto" w:fill="92D050"/>
        <w:tblLook w:val="04A0" w:firstRow="1" w:lastRow="0" w:firstColumn="1" w:lastColumn="0" w:noHBand="0" w:noVBand="1"/>
      </w:tblPr>
      <w:tblGrid>
        <w:gridCol w:w="1555"/>
        <w:gridCol w:w="6321"/>
        <w:gridCol w:w="2207"/>
      </w:tblGrid>
      <w:tr w:rsidR="0025150D" w:rsidRPr="000D416E" w14:paraId="5492EE41" w14:textId="77777777" w:rsidTr="00EB5ACC">
        <w:tc>
          <w:tcPr>
            <w:tcW w:w="7876" w:type="dxa"/>
            <w:gridSpan w:val="2"/>
            <w:shd w:val="clear" w:color="auto" w:fill="92D050"/>
            <w:vAlign w:val="center"/>
          </w:tcPr>
          <w:p w14:paraId="7BB8DFF3" w14:textId="76134D95" w:rsidR="0025150D" w:rsidRPr="000D416E" w:rsidRDefault="0025150D" w:rsidP="00EB5ACC">
            <w:pPr>
              <w:pStyle w:val="Titre3"/>
              <w:spacing w:after="120"/>
              <w:jc w:val="center"/>
              <w:rPr>
                <w:rFonts w:ascii="Arial" w:hAnsi="Arial" w:cs="Arial"/>
                <w:b/>
                <w:bCs/>
                <w:sz w:val="28"/>
              </w:rPr>
            </w:pPr>
            <w:r w:rsidRPr="000D416E">
              <w:rPr>
                <w:rFonts w:ascii="Arial" w:hAnsi="Arial" w:cs="Arial"/>
                <w:b/>
                <w:bCs/>
                <w:sz w:val="28"/>
              </w:rPr>
              <w:t xml:space="preserve">Mission </w:t>
            </w:r>
            <w:r w:rsidR="00DF25C4">
              <w:rPr>
                <w:rFonts w:ascii="Arial" w:hAnsi="Arial" w:cs="Arial"/>
                <w:b/>
                <w:bCs/>
                <w:sz w:val="28"/>
              </w:rPr>
              <w:t>7</w:t>
            </w:r>
            <w:r w:rsidRPr="000D416E">
              <w:rPr>
                <w:rFonts w:ascii="Arial" w:hAnsi="Arial" w:cs="Arial"/>
                <w:b/>
                <w:bCs/>
                <w:sz w:val="28"/>
              </w:rPr>
              <w:t xml:space="preserve"> – Réaliser une étude de maché avec </w:t>
            </w:r>
            <w:r w:rsidR="000D416E">
              <w:rPr>
                <w:rFonts w:ascii="Arial" w:hAnsi="Arial" w:cs="Arial"/>
                <w:b/>
                <w:bCs/>
                <w:sz w:val="28"/>
              </w:rPr>
              <w:t xml:space="preserve">une </w:t>
            </w:r>
            <w:r w:rsidRPr="000D416E">
              <w:rPr>
                <w:rFonts w:ascii="Arial" w:hAnsi="Arial" w:cs="Arial"/>
                <w:b/>
                <w:bCs/>
                <w:sz w:val="28"/>
              </w:rPr>
              <w:t>IA générative</w:t>
            </w:r>
          </w:p>
        </w:tc>
        <w:tc>
          <w:tcPr>
            <w:tcW w:w="2207" w:type="dxa"/>
            <w:shd w:val="clear" w:color="auto" w:fill="92D050"/>
            <w:vAlign w:val="center"/>
          </w:tcPr>
          <w:p w14:paraId="7E7473FF" w14:textId="77777777" w:rsidR="0025150D" w:rsidRPr="000D416E" w:rsidRDefault="0025150D" w:rsidP="00EB5ACC">
            <w:pPr>
              <w:pStyle w:val="Titre3"/>
              <w:spacing w:before="0"/>
              <w:rPr>
                <w:rFonts w:ascii="Arial" w:hAnsi="Arial" w:cs="Arial"/>
                <w:b/>
                <w:bCs/>
              </w:rPr>
            </w:pPr>
            <w:r w:rsidRPr="000D416E">
              <w:rPr>
                <w:rFonts w:ascii="Arial" w:hAnsi="Arial" w:cs="Arial"/>
                <w:b/>
                <w:bCs/>
                <w:noProof/>
                <w:sz w:val="20"/>
              </w:rPr>
              <w:drawing>
                <wp:inline distT="0" distB="0" distL="0" distR="0" wp14:anchorId="201AFB3F" wp14:editId="46257574">
                  <wp:extent cx="1264285" cy="600075"/>
                  <wp:effectExtent l="0" t="0" r="0" b="0"/>
                  <wp:docPr id="404357098" name="Image 404357098"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600075"/>
                          </a:xfrm>
                          <a:prstGeom prst="rect">
                            <a:avLst/>
                          </a:prstGeom>
                          <a:noFill/>
                          <a:ln>
                            <a:noFill/>
                          </a:ln>
                        </pic:spPr>
                      </pic:pic>
                    </a:graphicData>
                  </a:graphic>
                </wp:inline>
              </w:drawing>
            </w:r>
          </w:p>
        </w:tc>
      </w:tr>
      <w:tr w:rsidR="0025150D" w:rsidRPr="00C0612C" w14:paraId="3F745FAD" w14:textId="77777777" w:rsidTr="00EB5ACC">
        <w:tc>
          <w:tcPr>
            <w:tcW w:w="1555" w:type="dxa"/>
            <w:shd w:val="clear" w:color="auto" w:fill="92D050"/>
            <w:vAlign w:val="center"/>
          </w:tcPr>
          <w:p w14:paraId="23CB0DC1" w14:textId="660D7F87" w:rsidR="0025150D" w:rsidRPr="000D416E" w:rsidRDefault="0025150D" w:rsidP="00EB5ACC">
            <w:pPr>
              <w:pStyle w:val="Titre3"/>
              <w:spacing w:before="0"/>
              <w:rPr>
                <w:rFonts w:ascii="Arial" w:hAnsi="Arial" w:cs="Arial"/>
                <w:b/>
                <w:bCs/>
                <w:color w:val="FF0000"/>
              </w:rPr>
            </w:pPr>
            <w:r w:rsidRPr="000D416E">
              <w:rPr>
                <w:rFonts w:ascii="Arial" w:hAnsi="Arial" w:cs="Arial"/>
                <w:bCs/>
                <w:color w:val="FF0000"/>
                <w:sz w:val="20"/>
              </w:rPr>
              <w:t xml:space="preserve">Durée : </w:t>
            </w:r>
            <w:r w:rsidR="000D416E" w:rsidRPr="000D416E">
              <w:rPr>
                <w:rFonts w:ascii="Arial" w:hAnsi="Arial" w:cs="Arial"/>
                <w:bCs/>
                <w:color w:val="FF0000"/>
                <w:sz w:val="20"/>
              </w:rPr>
              <w:t>5</w:t>
            </w:r>
            <w:r w:rsidRPr="000D416E">
              <w:rPr>
                <w:rFonts w:ascii="Arial" w:hAnsi="Arial" w:cs="Arial"/>
                <w:b/>
                <w:bCs/>
                <w:color w:val="FF0000"/>
                <w:sz w:val="20"/>
              </w:rPr>
              <w:t>0</w:t>
            </w:r>
            <w:r w:rsidR="000D416E">
              <w:rPr>
                <w:rFonts w:ascii="Arial" w:hAnsi="Arial" w:cs="Arial"/>
                <w:b/>
                <w:bCs/>
                <w:color w:val="FF0000"/>
                <w:sz w:val="20"/>
              </w:rPr>
              <w:t>’</w:t>
            </w:r>
          </w:p>
        </w:tc>
        <w:tc>
          <w:tcPr>
            <w:tcW w:w="6321" w:type="dxa"/>
            <w:shd w:val="clear" w:color="auto" w:fill="92D050"/>
          </w:tcPr>
          <w:p w14:paraId="3FDB6C4C" w14:textId="77777777" w:rsidR="0025150D" w:rsidRPr="000D416E" w:rsidRDefault="0025150D" w:rsidP="00EB5ACC">
            <w:pPr>
              <w:pStyle w:val="Titre3"/>
              <w:spacing w:before="0"/>
              <w:jc w:val="center"/>
              <w:rPr>
                <w:rFonts w:ascii="Arial" w:hAnsi="Arial" w:cs="Arial"/>
                <w:color w:val="FF0000"/>
              </w:rPr>
            </w:pPr>
            <w:r w:rsidRPr="000D416E">
              <w:rPr>
                <w:rFonts w:ascii="Arial" w:hAnsi="Arial" w:cs="Arial"/>
                <w:noProof/>
                <w:color w:val="FF0000"/>
              </w:rPr>
              <w:drawing>
                <wp:inline distT="0" distB="0" distL="0" distR="0" wp14:anchorId="2617CD9E" wp14:editId="7A37DE24">
                  <wp:extent cx="360000" cy="360000"/>
                  <wp:effectExtent l="0" t="0" r="0" b="2540"/>
                  <wp:docPr id="1562353083"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r w:rsidRPr="000D416E">
              <w:rPr>
                <w:rFonts w:ascii="Arial" w:hAnsi="Arial" w:cs="Arial"/>
                <w:color w:val="FF0000"/>
              </w:rPr>
              <w:t>ou</w:t>
            </w:r>
            <w:r w:rsidRPr="000D416E">
              <w:rPr>
                <w:rFonts w:ascii="Arial" w:hAnsi="Arial" w:cs="Arial"/>
                <w:noProof/>
                <w:color w:val="FF0000"/>
              </w:rPr>
              <w:drawing>
                <wp:inline distT="0" distB="0" distL="0" distR="0" wp14:anchorId="4C5210AD" wp14:editId="03569198">
                  <wp:extent cx="396362" cy="360000"/>
                  <wp:effectExtent l="0" t="0" r="0" b="2540"/>
                  <wp:docPr id="1858402436"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07" w:type="dxa"/>
            <w:shd w:val="clear" w:color="auto" w:fill="92D050"/>
            <w:vAlign w:val="center"/>
          </w:tcPr>
          <w:p w14:paraId="5FD66883" w14:textId="77777777" w:rsidR="0025150D" w:rsidRPr="000D416E" w:rsidRDefault="0025150D" w:rsidP="00EB5ACC">
            <w:pPr>
              <w:pStyle w:val="Titre3"/>
              <w:spacing w:before="0"/>
              <w:jc w:val="center"/>
              <w:rPr>
                <w:rFonts w:ascii="Arial" w:hAnsi="Arial" w:cs="Arial"/>
                <w:b/>
                <w:bCs/>
                <w:sz w:val="20"/>
              </w:rPr>
            </w:pPr>
            <w:r w:rsidRPr="000D416E">
              <w:rPr>
                <w:rFonts w:ascii="Arial" w:hAnsi="Arial" w:cs="Arial"/>
                <w:bCs/>
                <w:sz w:val="20"/>
              </w:rPr>
              <w:t>Source</w:t>
            </w:r>
          </w:p>
        </w:tc>
      </w:tr>
    </w:tbl>
    <w:p w14:paraId="6E8753E0" w14:textId="77777777" w:rsidR="0025150D" w:rsidRDefault="0025150D" w:rsidP="0025150D">
      <w:pPr>
        <w:shd w:val="clear" w:color="auto" w:fill="FFFFFF" w:themeFill="background1"/>
        <w:spacing w:before="240"/>
        <w:jc w:val="both"/>
        <w:rPr>
          <w:rStyle w:val="lev"/>
          <w:sz w:val="24"/>
          <w:szCs w:val="28"/>
        </w:rPr>
      </w:pPr>
      <w:r w:rsidRPr="008F5D16">
        <w:rPr>
          <w:rStyle w:val="lev"/>
          <w:sz w:val="24"/>
          <w:szCs w:val="28"/>
        </w:rPr>
        <w:t>Contexte professionnel</w:t>
      </w:r>
    </w:p>
    <w:p w14:paraId="58A9A505" w14:textId="77777777" w:rsidR="0025150D" w:rsidRDefault="0025150D" w:rsidP="0025150D">
      <w:pPr>
        <w:pStyle w:val="tacheseurasment"/>
        <w:spacing w:before="120"/>
        <w:jc w:val="both"/>
        <w:rPr>
          <w:szCs w:val="20"/>
        </w:rPr>
      </w:pPr>
      <w:r>
        <w:rPr>
          <w:szCs w:val="20"/>
        </w:rPr>
        <w:t xml:space="preserve">La </w:t>
      </w:r>
      <w:r w:rsidRPr="00C03339">
        <w:rPr>
          <w:b/>
          <w:szCs w:val="20"/>
        </w:rPr>
        <w:t>Micro Brasserie du Solliet</w:t>
      </w:r>
      <w:r w:rsidRPr="00C03339">
        <w:rPr>
          <w:sz w:val="16"/>
          <w:szCs w:val="16"/>
        </w:rPr>
        <w:t xml:space="preserve"> </w:t>
      </w:r>
      <w:r>
        <w:rPr>
          <w:b/>
          <w:szCs w:val="20"/>
        </w:rPr>
        <w:t>(M</w:t>
      </w:r>
      <w:r w:rsidRPr="00C03339">
        <w:rPr>
          <w:b/>
          <w:szCs w:val="20"/>
        </w:rPr>
        <w:t>BS)</w:t>
      </w:r>
      <w:r>
        <w:rPr>
          <w:sz w:val="16"/>
          <w:szCs w:val="16"/>
        </w:rPr>
        <w:t xml:space="preserve"> </w:t>
      </w:r>
      <w:r>
        <w:rPr>
          <w:szCs w:val="20"/>
        </w:rPr>
        <w:t xml:space="preserve">est dirigée par M. Long. Elle conçoit et commercialise des bières locales (blanche, brune, ambrée, chartreuse, genépi, violette, Noël, montagne…) qu’elle fabrique depuis 12 mois dans sur son propre site de production qui est implanté à Grenoble. </w:t>
      </w:r>
    </w:p>
    <w:p w14:paraId="7F2C9956" w14:textId="77777777" w:rsidR="0025150D" w:rsidRDefault="0025150D" w:rsidP="0025150D">
      <w:pPr>
        <w:pStyle w:val="tacheseurasment"/>
        <w:spacing w:before="120"/>
        <w:jc w:val="both"/>
        <w:rPr>
          <w:szCs w:val="20"/>
        </w:rPr>
      </w:pPr>
      <w:r w:rsidRPr="00B512B9">
        <w:rPr>
          <w:noProof/>
          <w:szCs w:val="20"/>
        </w:rPr>
        <w:drawing>
          <wp:anchor distT="0" distB="0" distL="114300" distR="114300" simplePos="0" relativeHeight="251659264" behindDoc="0" locked="0" layoutInCell="1" allowOverlap="1" wp14:anchorId="2B1C3868" wp14:editId="74ACAC7E">
            <wp:simplePos x="0" y="0"/>
            <wp:positionH relativeFrom="column">
              <wp:posOffset>-40784</wp:posOffset>
            </wp:positionH>
            <wp:positionV relativeFrom="paragraph">
              <wp:posOffset>34184</wp:posOffset>
            </wp:positionV>
            <wp:extent cx="1097915" cy="1097915"/>
            <wp:effectExtent l="0" t="0" r="6985" b="6985"/>
            <wp:wrapSquare wrapText="bothSides"/>
            <wp:docPr id="1759429221" name="Image 1" descr="Une image contenant bâtiment, plein air,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29221" name="Image 1" descr="Une image contenant bâtiment, plein air, habits, personn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7915" cy="1097915"/>
                    </a:xfrm>
                    <a:prstGeom prst="rect">
                      <a:avLst/>
                    </a:prstGeom>
                  </pic:spPr>
                </pic:pic>
              </a:graphicData>
            </a:graphic>
            <wp14:sizeRelH relativeFrom="margin">
              <wp14:pctWidth>0</wp14:pctWidth>
            </wp14:sizeRelH>
            <wp14:sizeRelV relativeFrom="margin">
              <wp14:pctHeight>0</wp14:pctHeight>
            </wp14:sizeRelV>
          </wp:anchor>
        </w:drawing>
      </w:r>
      <w:r>
        <w:rPr>
          <w:szCs w:val="20"/>
        </w:rPr>
        <w:t xml:space="preserve">La commercialisation est faite auprès de centrales d’achat ou de bars et brasserie indépendants. Elle participe régulièrement à des évènements festifs, des salons et des foires (fête de la bière, fête du patrimoine, fête de village, Village de Noël, salon du bien-être…). </w:t>
      </w:r>
    </w:p>
    <w:p w14:paraId="6D03875A" w14:textId="77777777" w:rsidR="0025150D" w:rsidRDefault="0025150D" w:rsidP="0025150D">
      <w:pPr>
        <w:spacing w:before="120"/>
        <w:jc w:val="both"/>
        <w:rPr>
          <w:szCs w:val="20"/>
        </w:rPr>
      </w:pPr>
      <w:r>
        <w:rPr>
          <w:szCs w:val="20"/>
        </w:rPr>
        <w:t xml:space="preserve">Elle a également ouvert plusieurs brasserie à Grenoble, Lyon et Annecy qui lui permettent d’écouler directement sa production sans intermédiaire. </w:t>
      </w:r>
    </w:p>
    <w:p w14:paraId="3B6C8580" w14:textId="77777777" w:rsidR="0025150D" w:rsidRDefault="0025150D" w:rsidP="0025150D">
      <w:pPr>
        <w:spacing w:before="120"/>
        <w:jc w:val="both"/>
      </w:pPr>
      <w:r>
        <w:rPr>
          <w:noProof/>
        </w:rPr>
        <w:drawing>
          <wp:anchor distT="0" distB="0" distL="114300" distR="114300" simplePos="0" relativeHeight="251660288" behindDoc="0" locked="0" layoutInCell="1" allowOverlap="1" wp14:anchorId="1F625F40" wp14:editId="1BECEF4C">
            <wp:simplePos x="0" y="0"/>
            <wp:positionH relativeFrom="column">
              <wp:posOffset>5425440</wp:posOffset>
            </wp:positionH>
            <wp:positionV relativeFrom="paragraph">
              <wp:posOffset>749300</wp:posOffset>
            </wp:positionV>
            <wp:extent cx="1019810" cy="1676400"/>
            <wp:effectExtent l="0" t="0" r="8890" b="0"/>
            <wp:wrapSquare wrapText="bothSides"/>
            <wp:docPr id="705801201" name="Image 3" descr="Une image contenant Bouteille en verre, alcool, boisson, boisson alcoolisé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01201" name="Image 3" descr="Une image contenant Bouteille en verre, alcool, boisson, boisson alcoolisé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810" cy="1676400"/>
                    </a:xfrm>
                    <a:prstGeom prst="rect">
                      <a:avLst/>
                    </a:prstGeom>
                  </pic:spPr>
                </pic:pic>
              </a:graphicData>
            </a:graphic>
            <wp14:sizeRelH relativeFrom="margin">
              <wp14:pctWidth>0</wp14:pctWidth>
            </wp14:sizeRelH>
            <wp14:sizeRelV relativeFrom="margin">
              <wp14:pctHeight>0</wp14:pctHeight>
            </wp14:sizeRelV>
          </wp:anchor>
        </w:drawing>
      </w:r>
      <w:r>
        <w:rPr>
          <w:szCs w:val="20"/>
        </w:rPr>
        <w:t xml:space="preserve">Depuis quelques années elle a diversifiée son activité et sa production en fabricant des boissons non alcoolisées (limonades, sodas, smoothies…). </w:t>
      </w:r>
      <w:r>
        <w:t xml:space="preserve">La production est réalisée à partir de produits locaux issus de l’agriculture biologique ou raisonnée. Afin de garantir la qualité des matières utilisées dans l’élaboration de ses produits elle impose à ces producteurs de respecter une charte éthique et responsable qu’ils s’engagent à respecter. </w:t>
      </w:r>
    </w:p>
    <w:p w14:paraId="4D4A5870" w14:textId="77777777" w:rsidR="0025150D" w:rsidRDefault="0025150D" w:rsidP="0025150D">
      <w:pPr>
        <w:spacing w:before="120"/>
        <w:jc w:val="both"/>
      </w:pPr>
      <w:r w:rsidRPr="00B512B9">
        <w:t xml:space="preserve">Depuis </w:t>
      </w:r>
      <w:r>
        <w:t>un certain temps</w:t>
      </w:r>
      <w:r w:rsidRPr="00B512B9">
        <w:t xml:space="preserve"> </w:t>
      </w:r>
      <w:r>
        <w:t>une demande émerge autour d’une</w:t>
      </w:r>
      <w:r w:rsidRPr="00B512B9">
        <w:t xml:space="preserve"> boisson sans alcool </w:t>
      </w:r>
      <w:r>
        <w:t xml:space="preserve">et </w:t>
      </w:r>
      <w:r w:rsidRPr="00B512B9">
        <w:t>au gingembre</w:t>
      </w:r>
      <w:r>
        <w:t xml:space="preserve">. </w:t>
      </w:r>
      <w:r w:rsidRPr="00B512B9">
        <w:t xml:space="preserve">Un producteur local </w:t>
      </w:r>
      <w:r>
        <w:t>installé à Poisy en Haute-Savoie produit</w:t>
      </w:r>
      <w:r w:rsidRPr="00B512B9">
        <w:t xml:space="preserve"> une boisson à base de jus de pomme</w:t>
      </w:r>
      <w:r>
        <w:t>, de</w:t>
      </w:r>
      <w:r w:rsidRPr="00B512B9">
        <w:t xml:space="preserve"> jus de citron</w:t>
      </w:r>
      <w:r>
        <w:t>, de miel et de</w:t>
      </w:r>
      <w:r w:rsidRPr="00B512B9">
        <w:t xml:space="preserve"> gingembre</w:t>
      </w:r>
      <w:r>
        <w:t xml:space="preserve"> appelée </w:t>
      </w:r>
      <w:r w:rsidRPr="009904AA">
        <w:rPr>
          <w:b/>
          <w:bCs/>
          <w:i/>
          <w:iCs/>
        </w:rPr>
        <w:t>Moon Spirit</w:t>
      </w:r>
      <w:r>
        <w:t xml:space="preserve">. M. Long a réalisé des dégustations et a été surpris par la qualité et l’originalité du produit qui </w:t>
      </w:r>
      <w:r w:rsidRPr="00F944E5">
        <w:t>se distingue des Ginger Beer habituels</w:t>
      </w:r>
      <w:r>
        <w:t xml:space="preserve">. Par ailleurs les commerciaux ont fait savoir que le retour client sur le </w:t>
      </w:r>
      <w:r w:rsidRPr="009904AA">
        <w:rPr>
          <w:b/>
          <w:bCs/>
          <w:i/>
          <w:iCs/>
        </w:rPr>
        <w:t>Moon Spirit</w:t>
      </w:r>
      <w:r w:rsidRPr="00F944E5">
        <w:t xml:space="preserve"> </w:t>
      </w:r>
      <w:r>
        <w:t xml:space="preserve">est excellent. </w:t>
      </w:r>
    </w:p>
    <w:p w14:paraId="382FB1D4" w14:textId="77777777" w:rsidR="0025150D" w:rsidRDefault="0025150D" w:rsidP="0025150D">
      <w:pPr>
        <w:spacing w:before="120"/>
        <w:jc w:val="both"/>
      </w:pPr>
      <w:r>
        <w:t>M. Long</w:t>
      </w:r>
      <w:r w:rsidRPr="00B512B9">
        <w:t xml:space="preserve"> a </w:t>
      </w:r>
      <w:r>
        <w:t>rencontré</w:t>
      </w:r>
      <w:r w:rsidRPr="00B512B9">
        <w:t xml:space="preserve"> </w:t>
      </w:r>
      <w:r>
        <w:t>le gérant-</w:t>
      </w:r>
      <w:r w:rsidRPr="00B512B9">
        <w:t xml:space="preserve">créateur </w:t>
      </w:r>
      <w:r>
        <w:t>et ce dernier</w:t>
      </w:r>
      <w:r w:rsidRPr="00B512B9">
        <w:t xml:space="preserve"> cherche des soutiens </w:t>
      </w:r>
      <w:r>
        <w:t xml:space="preserve">financiers </w:t>
      </w:r>
      <w:r w:rsidRPr="00B512B9">
        <w:t>pour étendre son marché et accroître sa production</w:t>
      </w:r>
      <w:r>
        <w:t xml:space="preserve">. </w:t>
      </w:r>
      <w:r w:rsidRPr="00F944E5">
        <w:t>En accord avec le dirigeant</w:t>
      </w:r>
      <w:r>
        <w:t xml:space="preserve">, </w:t>
      </w:r>
      <w:r w:rsidRPr="00F944E5">
        <w:t xml:space="preserve">la </w:t>
      </w:r>
      <w:r>
        <w:t>B</w:t>
      </w:r>
      <w:r w:rsidRPr="00F944E5">
        <w:t xml:space="preserve">rasserie du </w:t>
      </w:r>
      <w:r>
        <w:t>S</w:t>
      </w:r>
      <w:r w:rsidRPr="00F944E5">
        <w:t>o</w:t>
      </w:r>
      <w:r>
        <w:t>lliet</w:t>
      </w:r>
      <w:r w:rsidRPr="00F944E5">
        <w:t xml:space="preserve"> pourrait prendre une participation</w:t>
      </w:r>
      <w:r>
        <w:t xml:space="preserve"> </w:t>
      </w:r>
      <w:r w:rsidRPr="00B512B9">
        <w:t xml:space="preserve">majoritaire dans </w:t>
      </w:r>
      <w:r>
        <w:t>l’</w:t>
      </w:r>
      <w:r w:rsidRPr="00B512B9">
        <w:t>entreprise</w:t>
      </w:r>
      <w:r>
        <w:t>. L’investissement est évalué à 1 million d’Euros (participation et investissement compris).</w:t>
      </w:r>
    </w:p>
    <w:p w14:paraId="18C5F67F" w14:textId="77777777" w:rsidR="0025150D" w:rsidRDefault="0025150D" w:rsidP="0025150D">
      <w:pPr>
        <w:spacing w:before="120"/>
        <w:jc w:val="both"/>
      </w:pPr>
      <w:r>
        <w:t>A</w:t>
      </w:r>
      <w:r w:rsidRPr="008E0B6C">
        <w:t>vant de prendre sa décision M</w:t>
      </w:r>
      <w:r>
        <w:t>. L</w:t>
      </w:r>
      <w:r w:rsidRPr="008E0B6C">
        <w:t xml:space="preserve">ong souhaite réaliser une étude </w:t>
      </w:r>
      <w:r>
        <w:t>de marché concernant le produit, l’offre et la demande. Il souhaite savoir :</w:t>
      </w:r>
      <w:r w:rsidRPr="008E0B6C">
        <w:t xml:space="preserve"> </w:t>
      </w:r>
    </w:p>
    <w:p w14:paraId="7D8E2FDD" w14:textId="77777777" w:rsidR="0025150D" w:rsidRDefault="0025150D" w:rsidP="0025150D">
      <w:pPr>
        <w:pStyle w:val="Paragraphedeliste"/>
        <w:numPr>
          <w:ilvl w:val="0"/>
          <w:numId w:val="9"/>
        </w:numPr>
        <w:ind w:left="360"/>
        <w:jc w:val="both"/>
      </w:pPr>
      <w:r w:rsidRPr="008E0B6C">
        <w:t xml:space="preserve">si ce type de ce type de boisson correspond </w:t>
      </w:r>
      <w:r>
        <w:t xml:space="preserve"> une mode </w:t>
      </w:r>
      <w:r w:rsidRPr="008E0B6C">
        <w:t>ou s'il s'agit d'une tendance de fond</w:t>
      </w:r>
      <w:r>
        <w:t> ;</w:t>
      </w:r>
    </w:p>
    <w:p w14:paraId="52CF274C" w14:textId="77777777" w:rsidR="0025150D" w:rsidRDefault="0025150D" w:rsidP="0025150D">
      <w:pPr>
        <w:pStyle w:val="Paragraphedeliste"/>
        <w:numPr>
          <w:ilvl w:val="0"/>
          <w:numId w:val="9"/>
        </w:numPr>
        <w:ind w:left="360"/>
        <w:jc w:val="both"/>
      </w:pPr>
      <w:r w:rsidRPr="008E0B6C">
        <w:t>si ce produit connaît un développement général ou localisé</w:t>
      </w:r>
      <w:r>
        <w:t xml:space="preserve"> ; </w:t>
      </w:r>
    </w:p>
    <w:p w14:paraId="70236BBE" w14:textId="77777777" w:rsidR="0025150D" w:rsidRDefault="0025150D" w:rsidP="0025150D">
      <w:pPr>
        <w:pStyle w:val="Paragraphedeliste"/>
        <w:numPr>
          <w:ilvl w:val="0"/>
          <w:numId w:val="9"/>
        </w:numPr>
        <w:ind w:left="360"/>
        <w:jc w:val="both"/>
      </w:pPr>
      <w:r>
        <w:t xml:space="preserve">S’il est </w:t>
      </w:r>
      <w:r w:rsidRPr="008E0B6C">
        <w:t>possib</w:t>
      </w:r>
      <w:r>
        <w:t xml:space="preserve">le </w:t>
      </w:r>
      <w:r w:rsidRPr="008E0B6C">
        <w:t>de déclin</w:t>
      </w:r>
      <w:r>
        <w:t>er</w:t>
      </w:r>
      <w:r w:rsidRPr="008E0B6C">
        <w:t xml:space="preserve"> cette boisson sous </w:t>
      </w:r>
      <w:r>
        <w:t>une</w:t>
      </w:r>
      <w:r w:rsidRPr="008E0B6C">
        <w:t xml:space="preserve"> forme pétillante </w:t>
      </w:r>
      <w:r>
        <w:t xml:space="preserve">et </w:t>
      </w:r>
      <w:r w:rsidRPr="008E0B6C">
        <w:t>non pétillante</w:t>
      </w:r>
      <w:r>
        <w:t> ;</w:t>
      </w:r>
    </w:p>
    <w:p w14:paraId="19E94FC3" w14:textId="77777777" w:rsidR="0025150D" w:rsidRDefault="0025150D" w:rsidP="0025150D">
      <w:pPr>
        <w:pStyle w:val="Paragraphedeliste"/>
        <w:numPr>
          <w:ilvl w:val="0"/>
          <w:numId w:val="9"/>
        </w:numPr>
        <w:ind w:left="360"/>
        <w:jc w:val="both"/>
      </w:pPr>
      <w:r>
        <w:t>S’il est possible d’en produire une version concentrée utilisable dans des cocktails ;</w:t>
      </w:r>
    </w:p>
    <w:p w14:paraId="26A5A982" w14:textId="77777777" w:rsidR="0025150D" w:rsidRDefault="0025150D" w:rsidP="0025150D">
      <w:pPr>
        <w:pStyle w:val="Paragraphedeliste"/>
        <w:numPr>
          <w:ilvl w:val="0"/>
          <w:numId w:val="9"/>
        </w:numPr>
        <w:ind w:left="360"/>
        <w:jc w:val="both"/>
      </w:pPr>
      <w:r>
        <w:t>L’importance de la concurrence ;</w:t>
      </w:r>
    </w:p>
    <w:p w14:paraId="3C64A683" w14:textId="77777777" w:rsidR="0025150D" w:rsidRDefault="0025150D" w:rsidP="0025150D">
      <w:pPr>
        <w:pStyle w:val="Paragraphedeliste"/>
        <w:numPr>
          <w:ilvl w:val="0"/>
          <w:numId w:val="9"/>
        </w:numPr>
        <w:ind w:left="360"/>
        <w:jc w:val="both"/>
      </w:pPr>
      <w:r>
        <w:t>La taille du marché et son évolution ;</w:t>
      </w:r>
    </w:p>
    <w:p w14:paraId="7C54B199" w14:textId="77777777" w:rsidR="0025150D" w:rsidRDefault="0025150D" w:rsidP="0025150D">
      <w:pPr>
        <w:pStyle w:val="Paragraphedeliste"/>
        <w:numPr>
          <w:ilvl w:val="0"/>
          <w:numId w:val="9"/>
        </w:numPr>
        <w:ind w:left="360"/>
        <w:jc w:val="both"/>
      </w:pPr>
      <w:r>
        <w:t>Les attentes des clients et consommateurs…</w:t>
      </w:r>
    </w:p>
    <w:p w14:paraId="582E3BC2" w14:textId="77777777" w:rsidR="0025150D" w:rsidRDefault="0025150D" w:rsidP="0025150D">
      <w:pPr>
        <w:jc w:val="both"/>
      </w:pPr>
    </w:p>
    <w:p w14:paraId="00B76104" w14:textId="77777777" w:rsidR="0025150D" w:rsidRPr="009904AA" w:rsidRDefault="0025150D" w:rsidP="0025150D">
      <w:pPr>
        <w:shd w:val="clear" w:color="auto" w:fill="FFFFFF" w:themeFill="background1"/>
        <w:spacing w:before="240" w:after="120"/>
        <w:jc w:val="both"/>
        <w:rPr>
          <w:rStyle w:val="lev"/>
          <w:sz w:val="24"/>
          <w:szCs w:val="28"/>
        </w:rPr>
      </w:pPr>
      <w:r w:rsidRPr="009904AA">
        <w:rPr>
          <w:rStyle w:val="lev"/>
          <w:sz w:val="24"/>
          <w:szCs w:val="28"/>
        </w:rPr>
        <w:t>Travail à faire</w:t>
      </w:r>
    </w:p>
    <w:p w14:paraId="4640B682" w14:textId="77777777" w:rsidR="00E43403" w:rsidRDefault="0025150D" w:rsidP="0025150D">
      <w:pPr>
        <w:spacing w:after="120"/>
        <w:jc w:val="both"/>
      </w:pPr>
      <w:r>
        <w:t>Réalisez l’étude de marché demandé par M. Long en réalisant vos recherche à l’aide d’une IA Générative de vote choix e</w:t>
      </w:r>
    </w:p>
    <w:p w14:paraId="12DFE7E2" w14:textId="6A8E67D1" w:rsidR="00E43403" w:rsidRDefault="00E43403" w:rsidP="00E43403">
      <w:pPr>
        <w:pStyle w:val="Paragraphedeliste"/>
        <w:numPr>
          <w:ilvl w:val="0"/>
          <w:numId w:val="10"/>
        </w:numPr>
        <w:spacing w:after="120"/>
        <w:jc w:val="both"/>
      </w:pPr>
      <w:proofErr w:type="gramStart"/>
      <w:r>
        <w:t>Rédigez le</w:t>
      </w:r>
      <w:proofErr w:type="gramEnd"/>
      <w:r>
        <w:t xml:space="preserve"> ou les prompts que vous allez utiliser.</w:t>
      </w:r>
    </w:p>
    <w:p w14:paraId="16117A46" w14:textId="21539327" w:rsidR="0025150D" w:rsidRDefault="00E43403" w:rsidP="00E43403">
      <w:pPr>
        <w:pStyle w:val="Paragraphedeliste"/>
        <w:numPr>
          <w:ilvl w:val="0"/>
          <w:numId w:val="10"/>
        </w:numPr>
        <w:spacing w:after="120"/>
        <w:jc w:val="both"/>
      </w:pPr>
      <w:r>
        <w:t>R</w:t>
      </w:r>
      <w:r w:rsidR="0025150D">
        <w:t>estituez votre travail dans un rapport destiné à M. Long</w:t>
      </w:r>
      <w:r>
        <w:t>.</w:t>
      </w:r>
    </w:p>
    <w:p w14:paraId="378C7C2A" w14:textId="77777777" w:rsidR="0025150D" w:rsidRDefault="0025150D" w:rsidP="0025150D">
      <w:pPr>
        <w:jc w:val="both"/>
      </w:pPr>
    </w:p>
    <w:p w14:paraId="23842719" w14:textId="77777777" w:rsidR="0025150D" w:rsidRDefault="0025150D" w:rsidP="0025150D">
      <w:pPr>
        <w:pStyle w:val="tacheseurasment"/>
        <w:jc w:val="both"/>
        <w:rPr>
          <w:rFonts w:cs="Arial"/>
          <w:color w:val="000000"/>
          <w:sz w:val="18"/>
          <w:szCs w:val="18"/>
        </w:rPr>
      </w:pPr>
    </w:p>
    <w:p w14:paraId="1FDC9EFC" w14:textId="77777777" w:rsidR="0025150D" w:rsidRDefault="0025150D" w:rsidP="0025150D">
      <w:pPr>
        <w:pStyle w:val="tacheseurasment"/>
        <w:jc w:val="both"/>
        <w:rPr>
          <w:rFonts w:cs="Arial"/>
          <w:color w:val="000000"/>
          <w:sz w:val="18"/>
          <w:szCs w:val="18"/>
        </w:rPr>
      </w:pPr>
    </w:p>
    <w:p w14:paraId="6DCBE629" w14:textId="77777777" w:rsidR="0025150D" w:rsidRDefault="0025150D" w:rsidP="0025150D">
      <w:pPr>
        <w:pStyle w:val="tacheseurasment"/>
        <w:jc w:val="both"/>
        <w:rPr>
          <w:rFonts w:cs="Arial"/>
          <w:color w:val="000000"/>
          <w:sz w:val="18"/>
          <w:szCs w:val="18"/>
        </w:rPr>
      </w:pPr>
    </w:p>
    <w:p w14:paraId="4249B113" w14:textId="77777777" w:rsidR="0025150D" w:rsidRDefault="0025150D" w:rsidP="0025150D">
      <w:pPr>
        <w:pStyle w:val="tacheseurasment"/>
        <w:jc w:val="both"/>
        <w:rPr>
          <w:rFonts w:cs="Arial"/>
          <w:color w:val="000000"/>
          <w:sz w:val="18"/>
          <w:szCs w:val="18"/>
        </w:rPr>
      </w:pPr>
    </w:p>
    <w:p w14:paraId="5C16ED05" w14:textId="60919C4E" w:rsidR="001B014B" w:rsidRPr="0025150D" w:rsidRDefault="001B014B" w:rsidP="0025150D"/>
    <w:sectPr w:rsidR="001B014B" w:rsidRPr="0025150D" w:rsidSect="004A156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D58B3"/>
    <w:multiLevelType w:val="hybridMultilevel"/>
    <w:tmpl w:val="CF7074A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9F77C34"/>
    <w:multiLevelType w:val="hybridMultilevel"/>
    <w:tmpl w:val="5DFCE0AE"/>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D175F2C"/>
    <w:multiLevelType w:val="hybridMultilevel"/>
    <w:tmpl w:val="BCFC969E"/>
    <w:lvl w:ilvl="0" w:tplc="10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1D549A3"/>
    <w:multiLevelType w:val="hybridMultilevel"/>
    <w:tmpl w:val="6F50DC1C"/>
    <w:lvl w:ilvl="0" w:tplc="10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3537FE1"/>
    <w:multiLevelType w:val="multilevel"/>
    <w:tmpl w:val="91EC780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45895221"/>
    <w:multiLevelType w:val="hybridMultilevel"/>
    <w:tmpl w:val="38769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881432"/>
    <w:multiLevelType w:val="hybridMultilevel"/>
    <w:tmpl w:val="CAD4A1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1531CD4"/>
    <w:multiLevelType w:val="hybridMultilevel"/>
    <w:tmpl w:val="3B78E4A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8434DD2"/>
    <w:multiLevelType w:val="hybridMultilevel"/>
    <w:tmpl w:val="52B2CC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F005925"/>
    <w:multiLevelType w:val="hybridMultilevel"/>
    <w:tmpl w:val="6FD0D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2711592">
    <w:abstractNumId w:val="5"/>
  </w:num>
  <w:num w:numId="2" w16cid:durableId="1788620307">
    <w:abstractNumId w:val="2"/>
  </w:num>
  <w:num w:numId="3" w16cid:durableId="140538861">
    <w:abstractNumId w:val="3"/>
  </w:num>
  <w:num w:numId="4" w16cid:durableId="1065376927">
    <w:abstractNumId w:val="0"/>
  </w:num>
  <w:num w:numId="5" w16cid:durableId="642537681">
    <w:abstractNumId w:val="7"/>
  </w:num>
  <w:num w:numId="6" w16cid:durableId="448938896">
    <w:abstractNumId w:val="1"/>
  </w:num>
  <w:num w:numId="7" w16cid:durableId="1538541431">
    <w:abstractNumId w:val="4"/>
  </w:num>
  <w:num w:numId="8" w16cid:durableId="56903424">
    <w:abstractNumId w:val="8"/>
  </w:num>
  <w:num w:numId="9" w16cid:durableId="57899141">
    <w:abstractNumId w:val="9"/>
  </w:num>
  <w:num w:numId="10" w16cid:durableId="674384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DC"/>
    <w:rsid w:val="000D416E"/>
    <w:rsid w:val="00106F1F"/>
    <w:rsid w:val="001B014B"/>
    <w:rsid w:val="0025150D"/>
    <w:rsid w:val="002673E3"/>
    <w:rsid w:val="004A156C"/>
    <w:rsid w:val="00644CE7"/>
    <w:rsid w:val="00647135"/>
    <w:rsid w:val="00744B11"/>
    <w:rsid w:val="009F71DC"/>
    <w:rsid w:val="00B176DD"/>
    <w:rsid w:val="00C126EF"/>
    <w:rsid w:val="00C71157"/>
    <w:rsid w:val="00DF25C4"/>
    <w:rsid w:val="00E4340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34DD"/>
  <w15:chartTrackingRefBased/>
  <w15:docId w15:val="{A062CFE9-3714-4067-B683-719CCA8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DC"/>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9F71DC"/>
    <w:pPr>
      <w:spacing w:after="120"/>
      <w:outlineLvl w:val="1"/>
    </w:pPr>
    <w:rPr>
      <w:rFonts w:ascii="Arial Black" w:eastAsia="Times New Roman" w:hAnsi="Arial Black" w:cs="Arial"/>
      <w:b/>
      <w:color w:val="000000"/>
      <w:sz w:val="24"/>
      <w:szCs w:val="20"/>
      <w:lang w:eastAsia="fr-FR"/>
    </w:rPr>
  </w:style>
  <w:style w:type="paragraph" w:styleId="Titre3">
    <w:name w:val="heading 3"/>
    <w:basedOn w:val="Normal"/>
    <w:next w:val="Normal"/>
    <w:link w:val="Titre3Car"/>
    <w:uiPriority w:val="9"/>
    <w:semiHidden/>
    <w:unhideWhenUsed/>
    <w:qFormat/>
    <w:rsid w:val="00C7115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71DC"/>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9F71DC"/>
    <w:pPr>
      <w:ind w:left="720"/>
      <w:contextualSpacing/>
    </w:pPr>
  </w:style>
  <w:style w:type="character" w:customStyle="1" w:styleId="Titre3Car">
    <w:name w:val="Titre 3 Car"/>
    <w:basedOn w:val="Policepardfaut"/>
    <w:link w:val="Titre3"/>
    <w:uiPriority w:val="9"/>
    <w:semiHidden/>
    <w:rsid w:val="00C71157"/>
    <w:rPr>
      <w:rFonts w:asciiTheme="majorHAnsi" w:eastAsiaTheme="majorEastAsia" w:hAnsiTheme="majorHAnsi" w:cstheme="majorBidi"/>
      <w:color w:val="1F3763" w:themeColor="accent1" w:themeShade="7F"/>
      <w:sz w:val="24"/>
      <w:szCs w:val="24"/>
    </w:rPr>
  </w:style>
  <w:style w:type="character" w:styleId="lev">
    <w:name w:val="Strong"/>
    <w:aliases w:val="a texte"/>
    <w:basedOn w:val="Policepardfaut"/>
    <w:uiPriority w:val="22"/>
    <w:qFormat/>
    <w:rsid w:val="00C71157"/>
    <w:rPr>
      <w:b/>
      <w:bCs/>
    </w:rPr>
  </w:style>
  <w:style w:type="table" w:styleId="Grilledutableau">
    <w:name w:val="Table Grid"/>
    <w:basedOn w:val="TableauNormal"/>
    <w:uiPriority w:val="59"/>
    <w:rsid w:val="00C7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heseurasment">
    <w:name w:val="taches eurasment"/>
    <w:basedOn w:val="Normal"/>
    <w:rsid w:val="00647135"/>
    <w:rPr>
      <w:rFonts w:eastAsia="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453</Words>
  <Characters>2493</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2019-09-16T08:36:00Z</dcterms:created>
  <dcterms:modified xsi:type="dcterms:W3CDTF">2024-02-24T16:54:00Z</dcterms:modified>
</cp:coreProperties>
</file>