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79" w:type="dxa"/>
        <w:shd w:val="clear" w:color="auto" w:fill="92D050"/>
        <w:tblLayout w:type="fixed"/>
        <w:tblLook w:val="04A0" w:firstRow="1" w:lastRow="0" w:firstColumn="1" w:lastColumn="0" w:noHBand="0" w:noVBand="1"/>
      </w:tblPr>
      <w:tblGrid>
        <w:gridCol w:w="1696"/>
        <w:gridCol w:w="6350"/>
        <w:gridCol w:w="2233"/>
      </w:tblGrid>
      <w:tr w:rsidR="0046787E" w:rsidRPr="00AB59C4" w14:paraId="1F1823B8" w14:textId="77777777" w:rsidTr="00DA1F7C">
        <w:trPr>
          <w:trHeight w:val="386"/>
        </w:trPr>
        <w:tc>
          <w:tcPr>
            <w:tcW w:w="8046" w:type="dxa"/>
            <w:gridSpan w:val="2"/>
            <w:shd w:val="clear" w:color="auto" w:fill="92D050"/>
            <w:vAlign w:val="center"/>
          </w:tcPr>
          <w:p w14:paraId="468E908E" w14:textId="1BD710A8" w:rsidR="0046787E" w:rsidRPr="00FD6112" w:rsidRDefault="0046787E" w:rsidP="00DA1F7C">
            <w:pPr>
              <w:pStyle w:val="Titre"/>
              <w:jc w:val="center"/>
              <w:rPr>
                <w:sz w:val="28"/>
                <w:szCs w:val="72"/>
              </w:rPr>
            </w:pPr>
            <w:r>
              <w:rPr>
                <w:sz w:val="28"/>
                <w:szCs w:val="72"/>
              </w:rPr>
              <w:t xml:space="preserve">Mission 3 - </w:t>
            </w:r>
            <w:r w:rsidR="00D222E2">
              <w:rPr>
                <w:rFonts w:cs="Arial"/>
                <w:sz w:val="28"/>
                <w:szCs w:val="72"/>
              </w:rPr>
              <w:t>É</w:t>
            </w:r>
            <w:r w:rsidRPr="00FD6112">
              <w:rPr>
                <w:rFonts w:cs="Calibri"/>
                <w:sz w:val="28"/>
                <w:szCs w:val="72"/>
              </w:rPr>
              <w:t>tud</w:t>
            </w:r>
            <w:r>
              <w:rPr>
                <w:rFonts w:cs="Calibri"/>
                <w:sz w:val="28"/>
                <w:szCs w:val="72"/>
              </w:rPr>
              <w:t xml:space="preserve">ier </w:t>
            </w:r>
            <w:r w:rsidRPr="00FD6112">
              <w:rPr>
                <w:rFonts w:cs="Calibri"/>
                <w:sz w:val="28"/>
                <w:szCs w:val="72"/>
              </w:rPr>
              <w:t>l’offre</w:t>
            </w:r>
          </w:p>
        </w:tc>
        <w:tc>
          <w:tcPr>
            <w:tcW w:w="2233" w:type="dxa"/>
            <w:shd w:val="clear" w:color="auto" w:fill="92D050"/>
          </w:tcPr>
          <w:p w14:paraId="664C7B04" w14:textId="77777777" w:rsidR="0046787E" w:rsidRPr="00AB59C4" w:rsidRDefault="0046787E" w:rsidP="00DA1F7C">
            <w:pPr>
              <w:pStyle w:val="Titre1"/>
              <w:spacing w:before="0" w:after="0"/>
              <w:jc w:val="center"/>
              <w:rPr>
                <w:color w:val="FFFFFF" w:themeColor="background1"/>
              </w:rPr>
            </w:pPr>
            <w:r>
              <w:rPr>
                <w:noProof/>
              </w:rPr>
              <w:drawing>
                <wp:inline distT="0" distB="0" distL="0" distR="0" wp14:anchorId="3314DC58" wp14:editId="4255E8C6">
                  <wp:extent cx="1303020" cy="486410"/>
                  <wp:effectExtent l="0" t="0" r="0" b="889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412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46787E" w:rsidRPr="00540F56" w14:paraId="2DA476F1" w14:textId="77777777" w:rsidTr="0064538D">
        <w:tc>
          <w:tcPr>
            <w:tcW w:w="1696" w:type="dxa"/>
            <w:shd w:val="clear" w:color="auto" w:fill="92D050"/>
            <w:vAlign w:val="center"/>
          </w:tcPr>
          <w:p w14:paraId="7C1F0675" w14:textId="6E56A6ED" w:rsidR="0046787E" w:rsidRPr="00540F56" w:rsidRDefault="0046787E" w:rsidP="00DA1F7C">
            <w:pPr>
              <w:rPr>
                <w:b/>
              </w:rPr>
            </w:pPr>
            <w:r w:rsidRPr="00540F56">
              <w:rPr>
                <w:b/>
              </w:rPr>
              <w:t>Durée</w:t>
            </w:r>
            <w:r>
              <w:t xml:space="preserve"> : </w:t>
            </w:r>
            <w:r w:rsidR="0064538D">
              <w:t>1 h 10</w:t>
            </w:r>
          </w:p>
        </w:tc>
        <w:tc>
          <w:tcPr>
            <w:tcW w:w="6350" w:type="dxa"/>
            <w:shd w:val="clear" w:color="auto" w:fill="92D050"/>
            <w:vAlign w:val="center"/>
          </w:tcPr>
          <w:p w14:paraId="4D47B4AF" w14:textId="1416B692" w:rsidR="0046787E" w:rsidRPr="00540F56" w:rsidRDefault="00825E7F" w:rsidP="00DA1F7C">
            <w:pPr>
              <w:ind w:left="26" w:hangingChars="13" w:hanging="26"/>
              <w:jc w:val="center"/>
              <w:rPr>
                <w:b/>
                <w:color w:val="FFFFFF" w:themeColor="background1"/>
              </w:rPr>
            </w:pPr>
            <w:r>
              <w:rPr>
                <w:noProof/>
              </w:rPr>
              <w:drawing>
                <wp:inline distT="0" distB="0" distL="0" distR="0" wp14:anchorId="4666A939" wp14:editId="6B76D3A9">
                  <wp:extent cx="360000" cy="360000"/>
                  <wp:effectExtent l="0" t="0" r="0" b="2540"/>
                  <wp:docPr id="108268416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t>ou</w:t>
            </w:r>
            <w:r>
              <w:rPr>
                <w:noProof/>
              </w:rPr>
              <w:drawing>
                <wp:inline distT="0" distB="0" distL="0" distR="0" wp14:anchorId="48A2E012" wp14:editId="2B7AFF1D">
                  <wp:extent cx="396362" cy="360000"/>
                  <wp:effectExtent l="0" t="0" r="0" b="2540"/>
                  <wp:docPr id="180263628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2233" w:type="dxa"/>
            <w:shd w:val="clear" w:color="auto" w:fill="92D050"/>
            <w:vAlign w:val="center"/>
          </w:tcPr>
          <w:p w14:paraId="52EB72EB" w14:textId="1265193B" w:rsidR="0046787E" w:rsidRPr="00540F56" w:rsidRDefault="0046787E" w:rsidP="00DA1F7C">
            <w:pPr>
              <w:jc w:val="center"/>
            </w:pPr>
            <w:r>
              <w:t>Source</w:t>
            </w:r>
            <w:r w:rsidR="00F97281">
              <w:t xml:space="preserve"> | Source Excel</w:t>
            </w:r>
          </w:p>
        </w:tc>
      </w:tr>
    </w:tbl>
    <w:p w14:paraId="1973BFAA" w14:textId="77777777" w:rsidR="0046787E" w:rsidRPr="001F3411" w:rsidRDefault="0046787E" w:rsidP="0046787E">
      <w:pPr>
        <w:spacing w:beforeLines="50" w:before="120"/>
        <w:rPr>
          <w:rFonts w:cs="Calibri"/>
          <w:b/>
          <w:bCs/>
          <w:sz w:val="24"/>
        </w:rPr>
      </w:pPr>
      <w:r w:rsidRPr="001F3411">
        <w:rPr>
          <w:rFonts w:cs="Calibri"/>
          <w:b/>
          <w:bCs/>
          <w:sz w:val="24"/>
        </w:rPr>
        <w:t>Contexte professionnel</w:t>
      </w:r>
    </w:p>
    <w:p w14:paraId="088C9482" w14:textId="77777777" w:rsidR="0046787E" w:rsidRDefault="0046787E" w:rsidP="0046787E">
      <w:pPr>
        <w:spacing w:before="120"/>
        <w:jc w:val="both"/>
      </w:pPr>
      <w:r>
        <w:t>La société Signaux-Girault conçoit des systèmes de signalisation lumineux reposant sur l’intégration des technologies LED dans des panneaux lumineux. Elle est située à Lons Le Saunier et emploie 41 salariés répartis dans trois divisions : enseigne, signalisation, sécurité.</w:t>
      </w:r>
    </w:p>
    <w:p w14:paraId="1429F81A" w14:textId="77777777" w:rsidR="0046787E" w:rsidRDefault="0046787E" w:rsidP="0046787E">
      <w:pPr>
        <w:spacing w:before="120"/>
        <w:rPr>
          <w:b/>
        </w:rPr>
      </w:pPr>
      <w:r>
        <w:rPr>
          <w:noProof/>
        </w:rPr>
        <w:drawing>
          <wp:anchor distT="0" distB="0" distL="114300" distR="114300" simplePos="0" relativeHeight="251660288" behindDoc="0" locked="0" layoutInCell="1" allowOverlap="1" wp14:anchorId="181439F3" wp14:editId="5AFFD17A">
            <wp:simplePos x="0" y="0"/>
            <wp:positionH relativeFrom="column">
              <wp:posOffset>4879340</wp:posOffset>
            </wp:positionH>
            <wp:positionV relativeFrom="paragraph">
              <wp:posOffset>185420</wp:posOffset>
            </wp:positionV>
            <wp:extent cx="1552575" cy="651510"/>
            <wp:effectExtent l="0" t="0" r="9525" b="0"/>
            <wp:wrapSquare wrapText="bothSides"/>
            <wp:docPr id="5" name="Image 5" descr="http://www.google.fr/url?source=imglanding&amp;ct=img&amp;q=http://www.ambiance-neon.fr/img/panneau-led-rodez.jpg&amp;sa=X&amp;ei=l4qEVYmkDsHXU-LyghA&amp;ved=0CAkQ8wc4lQE&amp;usg=AFQjCNGJ8jsZBpM4p-VkJojTyHgh_9Nu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www.ambiance-neon.fr/img/panneau-led-rodez.jpg&amp;sa=X&amp;ei=l4qEVYmkDsHXU-LyghA&amp;ved=0CAkQ8wc4lQE&amp;usg=AFQjCNGJ8jsZBpM4p-VkJojTyHgh_9NuV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FABC1" w14:textId="77777777" w:rsidR="0046787E" w:rsidRPr="005B6642" w:rsidRDefault="0046787E" w:rsidP="0046787E">
      <w:pPr>
        <w:spacing w:before="120"/>
        <w:rPr>
          <w:b/>
        </w:rPr>
      </w:pPr>
      <w:r w:rsidRPr="005B6642">
        <w:rPr>
          <w:b/>
        </w:rPr>
        <w:t>Division Enseigne</w:t>
      </w:r>
    </w:p>
    <w:p w14:paraId="3F0CC855" w14:textId="77777777" w:rsidR="0046787E" w:rsidRDefault="0046787E" w:rsidP="0046787E">
      <w:pPr>
        <w:spacing w:before="120"/>
      </w:pPr>
      <w:r>
        <w:t>À l’origine elle concevait des panneaux d’information lumineux qui permettaient de faire défiler du texte. Ces produits concernaient essentiellement des enseignes publicitaires.</w:t>
      </w:r>
    </w:p>
    <w:p w14:paraId="686E27B6" w14:textId="77777777" w:rsidR="0046787E" w:rsidRDefault="0046787E" w:rsidP="0046787E">
      <w:pPr>
        <w:spacing w:before="120"/>
      </w:pPr>
      <w:r>
        <w:rPr>
          <w:noProof/>
        </w:rPr>
        <w:drawing>
          <wp:anchor distT="0" distB="0" distL="114300" distR="114300" simplePos="0" relativeHeight="251661312" behindDoc="0" locked="0" layoutInCell="1" allowOverlap="1" wp14:anchorId="231429FC" wp14:editId="579B7B44">
            <wp:simplePos x="0" y="0"/>
            <wp:positionH relativeFrom="column">
              <wp:posOffset>-44450</wp:posOffset>
            </wp:positionH>
            <wp:positionV relativeFrom="paragraph">
              <wp:posOffset>244475</wp:posOffset>
            </wp:positionV>
            <wp:extent cx="786765" cy="774700"/>
            <wp:effectExtent l="0" t="0" r="0" b="6350"/>
            <wp:wrapSquare wrapText="bothSides"/>
            <wp:docPr id="6" name="Image 6" descr="http://www.google.fr/url?source=imglanding&amp;ct=img&amp;q=http://www.trafic.fr/src/boutique/photos/200-1.jpg&amp;sa=X&amp;ei=z4qEVcijJ8zbUamvgIgN&amp;ved=0CAkQ8wc&amp;usg=AFQjCNH15D5XJaFP5_DS0CYLPCX1O-oc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www.trafic.fr/src/boutique/photos/200-1.jpg&amp;sa=X&amp;ei=z4qEVcijJ8zbUamvgIgN&amp;ved=0CAkQ8wc&amp;usg=AFQjCNH15D5XJaFP5_DS0CYLPCX1O-ocU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765"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2D4CDED" wp14:editId="38ECB7FE">
            <wp:simplePos x="0" y="0"/>
            <wp:positionH relativeFrom="column">
              <wp:posOffset>5694680</wp:posOffset>
            </wp:positionH>
            <wp:positionV relativeFrom="paragraph">
              <wp:posOffset>153035</wp:posOffset>
            </wp:positionV>
            <wp:extent cx="734695" cy="727075"/>
            <wp:effectExtent l="0" t="0" r="8255" b="0"/>
            <wp:wrapSquare wrapText="bothSides"/>
            <wp:docPr id="1" name="Image 1" descr="http://www.google.fr/url?source=imglanding&amp;ct=img&amp;q=http://www.trafic.fr/src/boutique/photos/95-1.jpg&amp;sa=X&amp;ei=untjVciKKcLyUuGMgYgF&amp;ved=0CAkQ8wc&amp;usg=AFQjCNEol0DdnpTTo4CcWm9_MldWKLWE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www.trafic.fr/src/boutique/photos/95-1.jpg&amp;sa=X&amp;ei=untjVciKKcLyUuGMgYgF&amp;ved=0CAkQ8wc&amp;usg=AFQjCNEol0DdnpTTo4CcWm9_MldWKLWEa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69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F67237" w14:textId="77777777" w:rsidR="0046787E" w:rsidRPr="005B6642" w:rsidRDefault="0046787E" w:rsidP="0046787E">
      <w:pPr>
        <w:spacing w:before="120"/>
        <w:rPr>
          <w:b/>
        </w:rPr>
      </w:pPr>
      <w:r w:rsidRPr="005B6642">
        <w:rPr>
          <w:b/>
        </w:rPr>
        <w:t xml:space="preserve">Division </w:t>
      </w:r>
      <w:r>
        <w:rPr>
          <w:b/>
        </w:rPr>
        <w:t>S</w:t>
      </w:r>
      <w:r w:rsidRPr="005B6642">
        <w:rPr>
          <w:b/>
        </w:rPr>
        <w:t>ignalisation</w:t>
      </w:r>
    </w:p>
    <w:p w14:paraId="5D88A6E8" w14:textId="77777777" w:rsidR="0046787E" w:rsidRDefault="0046787E" w:rsidP="00DE1BE6">
      <w:pPr>
        <w:spacing w:before="120"/>
        <w:jc w:val="both"/>
      </w:pPr>
      <w:r>
        <w:t>En 2008, elle a adapté cette technologie à des panneaux routiers qui ont connu un réel succès. Cette évolution l’a conduit à créer une division consacrée à la signalisation.</w:t>
      </w:r>
    </w:p>
    <w:p w14:paraId="5E7806F1" w14:textId="77777777" w:rsidR="0046787E" w:rsidRDefault="0046787E" w:rsidP="0046787E">
      <w:pPr>
        <w:spacing w:before="120"/>
      </w:pPr>
    </w:p>
    <w:p w14:paraId="3DAF44A3" w14:textId="77777777" w:rsidR="0046787E" w:rsidRPr="005B6642" w:rsidRDefault="0046787E" w:rsidP="0046787E">
      <w:pPr>
        <w:spacing w:before="120"/>
        <w:rPr>
          <w:b/>
        </w:rPr>
      </w:pPr>
      <w:r>
        <w:rPr>
          <w:noProof/>
        </w:rPr>
        <w:drawing>
          <wp:anchor distT="0" distB="0" distL="114300" distR="114300" simplePos="0" relativeHeight="251662336" behindDoc="0" locked="0" layoutInCell="1" allowOverlap="1" wp14:anchorId="6C5B5C45" wp14:editId="07EFC179">
            <wp:simplePos x="0" y="0"/>
            <wp:positionH relativeFrom="column">
              <wp:posOffset>4157235</wp:posOffset>
            </wp:positionH>
            <wp:positionV relativeFrom="paragraph">
              <wp:posOffset>112975</wp:posOffset>
            </wp:positionV>
            <wp:extent cx="2135505" cy="544195"/>
            <wp:effectExtent l="0" t="0" r="0" b="8255"/>
            <wp:wrapSquare wrapText="bothSides"/>
            <wp:docPr id="4" name="Image 4" descr="http://www.google.fr/url?source=imglanding&amp;ct=img&amp;q=http://blog.coovali.re/wp-content/uploads/2012/12/IBM-passage-pi%C3%A9ton-lumineux.png&amp;sa=X&amp;ei=lX9jVbzCHIGwUdDcgKgO&amp;ved=0CAkQ8wc&amp;usg=AFQjCNEP3iNHZCcOdgvcxk-ITHck-G30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blog.coovali.re/wp-content/uploads/2012/12/IBM-passage-pi%C3%A9ton-lumineux.png&amp;sa=X&amp;ei=lX9jVbzCHIGwUdDcgKgO&amp;ved=0CAkQ8wc&amp;usg=AFQjCNEP3iNHZCcOdgvcxk-ITHck-G30tQ"/>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763" t="50988" r="29670" b="30581"/>
                    <a:stretch/>
                  </pic:blipFill>
                  <pic:spPr bwMode="auto">
                    <a:xfrm>
                      <a:off x="0" y="0"/>
                      <a:ext cx="2135505" cy="544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6642">
        <w:rPr>
          <w:b/>
        </w:rPr>
        <w:t xml:space="preserve">Division </w:t>
      </w:r>
      <w:r>
        <w:rPr>
          <w:b/>
        </w:rPr>
        <w:t>S</w:t>
      </w:r>
      <w:r w:rsidRPr="005B6642">
        <w:rPr>
          <w:b/>
        </w:rPr>
        <w:t>écurité</w:t>
      </w:r>
    </w:p>
    <w:p w14:paraId="07E8E913" w14:textId="77777777" w:rsidR="0046787E" w:rsidRDefault="0046787E" w:rsidP="0046787E">
      <w:pPr>
        <w:spacing w:before="120"/>
        <w:jc w:val="both"/>
      </w:pPr>
      <w:r>
        <w:rPr>
          <w:noProof/>
        </w:rPr>
        <w:drawing>
          <wp:anchor distT="0" distB="0" distL="114300" distR="114300" simplePos="0" relativeHeight="251663360" behindDoc="0" locked="0" layoutInCell="1" allowOverlap="1" wp14:anchorId="13DE02EC" wp14:editId="4722C18B">
            <wp:simplePos x="0" y="0"/>
            <wp:positionH relativeFrom="column">
              <wp:posOffset>-1270</wp:posOffset>
            </wp:positionH>
            <wp:positionV relativeFrom="paragraph">
              <wp:posOffset>123190</wp:posOffset>
            </wp:positionV>
            <wp:extent cx="648335" cy="665480"/>
            <wp:effectExtent l="0" t="0" r="0" b="127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4441F.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335" cy="665480"/>
                    </a:xfrm>
                    <a:prstGeom prst="rect">
                      <a:avLst/>
                    </a:prstGeom>
                  </pic:spPr>
                </pic:pic>
              </a:graphicData>
            </a:graphic>
            <wp14:sizeRelH relativeFrom="margin">
              <wp14:pctWidth>0</wp14:pctWidth>
            </wp14:sizeRelH>
            <wp14:sizeRelV relativeFrom="margin">
              <wp14:pctHeight>0</wp14:pctHeight>
            </wp14:sizeRelV>
          </wp:anchor>
        </w:drawing>
      </w:r>
      <w:r>
        <w:t>En 2012, elle a réussi à intégrer des Led dans des bandeaux souples qui peuvent être posés au sol ou contre les murs. Ils supportent plusieurs tonnes de pression ce qui permet de les intégrer dans des bandes qui peuvent être collées au sol pour signaler des passages piétons, des zones à 30 km/h, des pistes cyclables, etc. Elles sont alimentées par électricité et consomment très peu d’énergie. Ces innovations ont donné naissance à la division Sécurité</w:t>
      </w:r>
    </w:p>
    <w:p w14:paraId="0D4238CD" w14:textId="77777777" w:rsidR="0046787E" w:rsidRDefault="0046787E" w:rsidP="0046787E">
      <w:pPr>
        <w:spacing w:before="120"/>
        <w:jc w:val="both"/>
      </w:pPr>
      <w:r>
        <w:t xml:space="preserve">Le service R et D travaille actuellement sur des bandes légèrement plus épaisses qui intégreraient des cellules photovoltaïques qui chargeront des batteries intégrées à la bande. Ce qui rendrait le système totalement autonome. </w:t>
      </w:r>
    </w:p>
    <w:p w14:paraId="04D5F447" w14:textId="77777777" w:rsidR="00DE1BE6" w:rsidRDefault="00DE1BE6" w:rsidP="00F4081C">
      <w:pPr>
        <w:spacing w:beforeLines="50" w:before="120"/>
        <w:ind w:left="2038" w:hangingChars="846" w:hanging="2038"/>
        <w:rPr>
          <w:rFonts w:cs="Calibri"/>
          <w:b/>
          <w:bCs/>
          <w:sz w:val="24"/>
        </w:rPr>
      </w:pPr>
    </w:p>
    <w:p w14:paraId="3BD21B59" w14:textId="7036E401" w:rsidR="00F4081C" w:rsidRPr="0046787E" w:rsidRDefault="00F4081C" w:rsidP="00F4081C">
      <w:pPr>
        <w:spacing w:beforeLines="50" w:before="120"/>
        <w:ind w:left="2038" w:hangingChars="846" w:hanging="2038"/>
        <w:rPr>
          <w:rFonts w:cs="Calibri"/>
          <w:b/>
          <w:bCs/>
          <w:sz w:val="24"/>
        </w:rPr>
      </w:pPr>
      <w:r w:rsidRPr="0046787E">
        <w:rPr>
          <w:rFonts w:cs="Calibri"/>
          <w:b/>
          <w:bCs/>
          <w:sz w:val="24"/>
        </w:rPr>
        <w:t>Travail à faire</w:t>
      </w:r>
    </w:p>
    <w:p w14:paraId="651DFF87" w14:textId="73D4234B" w:rsidR="00F97281" w:rsidRDefault="00F97281" w:rsidP="00F97281">
      <w:pPr>
        <w:spacing w:beforeLines="50" w:before="120"/>
        <w:jc w:val="both"/>
      </w:pPr>
      <w:r>
        <w:t xml:space="preserve">Vous devez réaliser une étude de la concurrence de l’entreprise dans sa région d’origine. </w:t>
      </w:r>
      <w:r w:rsidRPr="175BC7E6">
        <w:rPr>
          <w:rFonts w:ascii="Calibri" w:eastAsia="Calibri" w:hAnsi="Calibri" w:cs="Calibri"/>
        </w:rPr>
        <w:t>Votre é</w:t>
      </w:r>
      <w:r>
        <w:t xml:space="preserve">tude doit-être rationnelle, rigoureuse, précise et chiffrée. </w:t>
      </w:r>
    </w:p>
    <w:p w14:paraId="34A09CB8" w14:textId="77777777" w:rsidR="0064538D" w:rsidRPr="0064538D" w:rsidRDefault="0064538D" w:rsidP="0064538D">
      <w:pPr>
        <w:pStyle w:val="Paragraphedeliste"/>
        <w:numPr>
          <w:ilvl w:val="0"/>
          <w:numId w:val="11"/>
        </w:numPr>
        <w:rPr>
          <w:b/>
          <w:bCs/>
        </w:rPr>
      </w:pPr>
      <w:r w:rsidRPr="0064538D">
        <w:rPr>
          <w:b/>
          <w:bCs/>
        </w:rPr>
        <w:t>Caractérisez le marché de l’entreprise en situant l’entreprise par rapport au concepts suivants :</w:t>
      </w:r>
    </w:p>
    <w:p w14:paraId="10A91A8F" w14:textId="77777777" w:rsidR="0064538D" w:rsidRPr="00D51A18" w:rsidRDefault="0064538D" w:rsidP="0064538D">
      <w:pPr>
        <w:pStyle w:val="Paragraphedeliste"/>
        <w:numPr>
          <w:ilvl w:val="0"/>
          <w:numId w:val="12"/>
        </w:numPr>
      </w:pPr>
      <w:r>
        <w:t>t</w:t>
      </w:r>
      <w:r w:rsidRPr="00D51A18">
        <w:t>ypologie du marché : générique, principal, support, etc.</w:t>
      </w:r>
    </w:p>
    <w:p w14:paraId="426CA003" w14:textId="77777777" w:rsidR="0064538D" w:rsidRPr="00D51A18" w:rsidRDefault="0064538D" w:rsidP="0064538D">
      <w:pPr>
        <w:pStyle w:val="Paragraphedeliste"/>
        <w:numPr>
          <w:ilvl w:val="0"/>
          <w:numId w:val="12"/>
        </w:numPr>
      </w:pPr>
      <w:r>
        <w:t>l</w:t>
      </w:r>
      <w:r w:rsidRPr="00D51A18">
        <w:t>e marché amont (fournisseurs) et le marché aval (clientèle)</w:t>
      </w:r>
    </w:p>
    <w:p w14:paraId="5C43788B" w14:textId="4AC45E18" w:rsidR="0064538D" w:rsidRDefault="0064538D" w:rsidP="0064538D">
      <w:pPr>
        <w:pStyle w:val="Paragraphedeliste"/>
        <w:numPr>
          <w:ilvl w:val="0"/>
          <w:numId w:val="12"/>
        </w:numPr>
      </w:pPr>
      <w:r>
        <w:t>l</w:t>
      </w:r>
      <w:r w:rsidRPr="00D51A18">
        <w:t>a structure du marché : concurrentiel, oligopole, etc.</w:t>
      </w:r>
    </w:p>
    <w:p w14:paraId="7A1168C9" w14:textId="08EDDEE9" w:rsidR="0064538D" w:rsidRDefault="0064538D" w:rsidP="0064538D"/>
    <w:p w14:paraId="288D35BC" w14:textId="77777777" w:rsidR="0064538D" w:rsidRDefault="0064538D" w:rsidP="0064538D"/>
    <w:p w14:paraId="4105B86B" w14:textId="51D6D2A0" w:rsidR="0064538D" w:rsidRDefault="0064538D" w:rsidP="0064538D">
      <w:pPr>
        <w:pStyle w:val="Paragraphedeliste"/>
        <w:numPr>
          <w:ilvl w:val="0"/>
          <w:numId w:val="11"/>
        </w:numPr>
        <w:rPr>
          <w:b/>
          <w:bCs/>
        </w:rPr>
      </w:pPr>
      <w:r w:rsidRPr="0064538D">
        <w:rPr>
          <w:b/>
          <w:bCs/>
        </w:rPr>
        <w:t>Recherchez sept concurrents dans la région Est dans le domaine des enseignes lumineuses par Led et recherchez pour chacun d’eux les informations qui les concernent sur société.com ou infogreffe.fr</w:t>
      </w:r>
    </w:p>
    <w:p w14:paraId="395B28E7" w14:textId="68868C1E" w:rsidR="0064538D" w:rsidRDefault="0064538D" w:rsidP="0064538D">
      <w:pPr>
        <w:rPr>
          <w:b/>
          <w:bCs/>
        </w:rPr>
      </w:pPr>
    </w:p>
    <w:p w14:paraId="0CBA51D0" w14:textId="62E15627" w:rsidR="0064538D" w:rsidRDefault="0064538D" w:rsidP="0064538D">
      <w:pPr>
        <w:rPr>
          <w:b/>
          <w:bCs/>
        </w:rPr>
      </w:pPr>
    </w:p>
    <w:p w14:paraId="79B2FBD8" w14:textId="77777777" w:rsidR="0064538D" w:rsidRPr="0064538D" w:rsidRDefault="0064538D" w:rsidP="0064538D">
      <w:pPr>
        <w:rPr>
          <w:b/>
          <w:bCs/>
        </w:rPr>
      </w:pPr>
    </w:p>
    <w:p w14:paraId="1380AEF3" w14:textId="77777777" w:rsidR="0064538D" w:rsidRPr="0064538D" w:rsidRDefault="0064538D" w:rsidP="0064538D">
      <w:pPr>
        <w:pStyle w:val="Paragraphedeliste"/>
        <w:numPr>
          <w:ilvl w:val="0"/>
          <w:numId w:val="11"/>
        </w:numPr>
        <w:rPr>
          <w:b/>
          <w:bCs/>
        </w:rPr>
      </w:pPr>
      <w:r w:rsidRPr="0064538D">
        <w:rPr>
          <w:b/>
          <w:bCs/>
        </w:rPr>
        <w:lastRenderedPageBreak/>
        <w:t>Recherchez des informations économiques sur le secteur d’activité publicitaire des enseignes et de la signalétiques et son évolution depuis 2 ou 3 ans (Source : INSEE, IREP ou autres).</w:t>
      </w:r>
    </w:p>
    <w:p w14:paraId="2C5ADB6D" w14:textId="77777777" w:rsidR="0064538D" w:rsidRDefault="0064538D" w:rsidP="00F97281">
      <w:pPr>
        <w:spacing w:beforeLines="50" w:before="120"/>
        <w:jc w:val="both"/>
      </w:pPr>
    </w:p>
    <w:p w14:paraId="2C7CC15E" w14:textId="1F08E94A" w:rsidR="002527C5" w:rsidRDefault="002527C5" w:rsidP="002527C5">
      <w:pPr>
        <w:rPr>
          <w:b/>
          <w:szCs w:val="18"/>
        </w:rPr>
      </w:pPr>
    </w:p>
    <w:p w14:paraId="28415899" w14:textId="70C8AF0E" w:rsidR="002527C5" w:rsidRDefault="002527C5" w:rsidP="002527C5">
      <w:pPr>
        <w:pStyle w:val="Paragraphedeliste"/>
        <w:rPr>
          <w:b/>
          <w:szCs w:val="20"/>
        </w:rPr>
      </w:pPr>
    </w:p>
    <w:sectPr w:rsidR="002527C5" w:rsidSect="0082244E">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B70"/>
    <w:multiLevelType w:val="hybridMultilevel"/>
    <w:tmpl w:val="641C14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38433CB"/>
    <w:multiLevelType w:val="hybridMultilevel"/>
    <w:tmpl w:val="5EE0103E"/>
    <w:lvl w:ilvl="0" w:tplc="A4364E26">
      <w:start w:val="1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9B59C1"/>
    <w:multiLevelType w:val="hybridMultilevel"/>
    <w:tmpl w:val="1B141C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1460695"/>
    <w:multiLevelType w:val="hybridMultilevel"/>
    <w:tmpl w:val="75A6C6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8B3ED1"/>
    <w:multiLevelType w:val="hybridMultilevel"/>
    <w:tmpl w:val="53265A16"/>
    <w:lvl w:ilvl="0" w:tplc="397800F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79D0E9F"/>
    <w:multiLevelType w:val="hybridMultilevel"/>
    <w:tmpl w:val="509498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4465298"/>
    <w:multiLevelType w:val="hybridMultilevel"/>
    <w:tmpl w:val="B4D4C4A8"/>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2C4DE6"/>
    <w:multiLevelType w:val="hybridMultilevel"/>
    <w:tmpl w:val="6A1070C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FA7091"/>
    <w:multiLevelType w:val="hybridMultilevel"/>
    <w:tmpl w:val="61B61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6D77C2"/>
    <w:multiLevelType w:val="hybridMultilevel"/>
    <w:tmpl w:val="30C2CE9C"/>
    <w:lvl w:ilvl="0" w:tplc="A4364E26">
      <w:start w:val="1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AD401A"/>
    <w:multiLevelType w:val="hybridMultilevel"/>
    <w:tmpl w:val="C2D4B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134094"/>
    <w:multiLevelType w:val="hybridMultilevel"/>
    <w:tmpl w:val="59CEA482"/>
    <w:lvl w:ilvl="0" w:tplc="624C787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32745065">
    <w:abstractNumId w:val="6"/>
  </w:num>
  <w:num w:numId="2" w16cid:durableId="1062101146">
    <w:abstractNumId w:val="7"/>
  </w:num>
  <w:num w:numId="3" w16cid:durableId="939676308">
    <w:abstractNumId w:val="11"/>
  </w:num>
  <w:num w:numId="4" w16cid:durableId="1118523990">
    <w:abstractNumId w:val="0"/>
  </w:num>
  <w:num w:numId="5" w16cid:durableId="891772097">
    <w:abstractNumId w:val="3"/>
  </w:num>
  <w:num w:numId="6" w16cid:durableId="756947454">
    <w:abstractNumId w:val="5"/>
  </w:num>
  <w:num w:numId="7" w16cid:durableId="136803983">
    <w:abstractNumId w:val="10"/>
  </w:num>
  <w:num w:numId="8" w16cid:durableId="796147403">
    <w:abstractNumId w:val="4"/>
  </w:num>
  <w:num w:numId="9" w16cid:durableId="994063295">
    <w:abstractNumId w:val="8"/>
  </w:num>
  <w:num w:numId="10" w16cid:durableId="317349907">
    <w:abstractNumId w:val="1"/>
  </w:num>
  <w:num w:numId="11" w16cid:durableId="1640956434">
    <w:abstractNumId w:val="2"/>
  </w:num>
  <w:num w:numId="12" w16cid:durableId="74519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1C"/>
    <w:rsid w:val="00015362"/>
    <w:rsid w:val="001F421B"/>
    <w:rsid w:val="002527C5"/>
    <w:rsid w:val="003B23ED"/>
    <w:rsid w:val="0046787E"/>
    <w:rsid w:val="004B5A39"/>
    <w:rsid w:val="0064538D"/>
    <w:rsid w:val="0082244E"/>
    <w:rsid w:val="00825E7F"/>
    <w:rsid w:val="00944A38"/>
    <w:rsid w:val="00972958"/>
    <w:rsid w:val="00AE1846"/>
    <w:rsid w:val="00B87BAA"/>
    <w:rsid w:val="00BC6D36"/>
    <w:rsid w:val="00BF37FA"/>
    <w:rsid w:val="00C30730"/>
    <w:rsid w:val="00C42D19"/>
    <w:rsid w:val="00CF4C76"/>
    <w:rsid w:val="00D222E2"/>
    <w:rsid w:val="00D2652D"/>
    <w:rsid w:val="00DB5927"/>
    <w:rsid w:val="00DE1BE6"/>
    <w:rsid w:val="00DE28A9"/>
    <w:rsid w:val="00E14B4B"/>
    <w:rsid w:val="00F4081C"/>
    <w:rsid w:val="00F97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4DF8"/>
  <w15:chartTrackingRefBased/>
  <w15:docId w15:val="{B8C90307-408B-41CD-ADFF-8F296D4E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Arial" w:eastAsia="Times New Roman" w:hAnsi="Arial" w:cs="Arial"/>
      <w:color w:val="000000" w:themeColor="text1"/>
      <w:szCs w:val="20"/>
      <w:lang w:eastAsia="fr-FR"/>
    </w:rPr>
  </w:style>
  <w:style w:type="paragraph" w:styleId="Titre1">
    <w:name w:val="heading 1"/>
    <w:basedOn w:val="Normal"/>
    <w:next w:val="Normal"/>
    <w:link w:val="Titre1Car"/>
    <w:uiPriority w:val="9"/>
    <w:qFormat/>
    <w:rsid w:val="00F4081C"/>
    <w:pPr>
      <w:keepNext/>
      <w:keepLines/>
      <w:spacing w:before="120" w:after="120"/>
      <w:outlineLvl w:val="0"/>
    </w:pPr>
    <w:rPr>
      <w:rFonts w:eastAsiaTheme="majorEastAsia"/>
      <w:b/>
      <w:b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081C"/>
    <w:rPr>
      <w:rFonts w:ascii="Arial" w:eastAsiaTheme="majorEastAsia" w:hAnsi="Arial" w:cs="Arial"/>
      <w:b/>
      <w:bCs/>
      <w:color w:val="000000" w:themeColor="text1"/>
      <w:sz w:val="32"/>
      <w:szCs w:val="28"/>
      <w:lang w:eastAsia="fr-FR"/>
    </w:rPr>
  </w:style>
  <w:style w:type="table" w:styleId="Grilledutableau">
    <w:name w:val="Table Grid"/>
    <w:basedOn w:val="TableauNormal"/>
    <w:uiPriority w:val="59"/>
    <w:rsid w:val="00F4081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F4081C"/>
    <w:rPr>
      <w:color w:val="003399"/>
    </w:rPr>
  </w:style>
  <w:style w:type="paragraph" w:styleId="Paragraphedeliste">
    <w:name w:val="List Paragraph"/>
    <w:basedOn w:val="Normal"/>
    <w:uiPriority w:val="34"/>
    <w:qFormat/>
    <w:rsid w:val="00F4081C"/>
    <w:pPr>
      <w:spacing w:before="120" w:line="220" w:lineRule="atLeast"/>
      <w:ind w:left="720"/>
      <w:contextualSpacing/>
      <w:jc w:val="both"/>
    </w:pPr>
    <w:rPr>
      <w:rFonts w:eastAsia="Calibri"/>
      <w:szCs w:val="22"/>
      <w:lang w:eastAsia="en-US"/>
    </w:rPr>
  </w:style>
  <w:style w:type="paragraph" w:styleId="Titre">
    <w:name w:val="Title"/>
    <w:aliases w:val="Titre2"/>
    <w:basedOn w:val="Normal"/>
    <w:next w:val="Normal"/>
    <w:link w:val="TitreCar"/>
    <w:qFormat/>
    <w:rsid w:val="00F4081C"/>
    <w:pPr>
      <w:spacing w:before="120" w:after="120"/>
      <w:contextualSpacing/>
    </w:pPr>
    <w:rPr>
      <w:rFonts w:eastAsiaTheme="majorEastAsia" w:cstheme="majorBidi"/>
      <w:b/>
      <w:spacing w:val="-10"/>
      <w:kern w:val="28"/>
      <w:sz w:val="24"/>
      <w:szCs w:val="56"/>
    </w:rPr>
  </w:style>
  <w:style w:type="character" w:customStyle="1" w:styleId="TitreCar">
    <w:name w:val="Titre Car"/>
    <w:aliases w:val="Titre2 Car"/>
    <w:basedOn w:val="Policepardfaut"/>
    <w:link w:val="Titre"/>
    <w:rsid w:val="00F4081C"/>
    <w:rPr>
      <w:rFonts w:ascii="Arial" w:eastAsiaTheme="majorEastAsia" w:hAnsi="Arial" w:cstheme="majorBidi"/>
      <w:b/>
      <w:color w:val="000000" w:themeColor="text1"/>
      <w:spacing w:val="-10"/>
      <w:kern w:val="28"/>
      <w:sz w:val="24"/>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355</Words>
  <Characters>1957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22</cp:revision>
  <dcterms:created xsi:type="dcterms:W3CDTF">2015-06-19T21:48:00Z</dcterms:created>
  <dcterms:modified xsi:type="dcterms:W3CDTF">2024-02-20T19:11:00Z</dcterms:modified>
</cp:coreProperties>
</file>