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901" w:type="dxa"/>
        <w:tblInd w:w="-5" w:type="dxa"/>
        <w:shd w:val="clear" w:color="auto" w:fill="00B050"/>
        <w:tblLook w:val="04A0" w:firstRow="1" w:lastRow="0" w:firstColumn="1" w:lastColumn="0" w:noHBand="0" w:noVBand="1"/>
      </w:tblPr>
      <w:tblGrid>
        <w:gridCol w:w="1427"/>
        <w:gridCol w:w="7579"/>
        <w:gridCol w:w="895"/>
      </w:tblGrid>
      <w:tr w:rsidR="001D36F3" w:rsidRPr="001D36F3" w14:paraId="17225AF1" w14:textId="77777777" w:rsidTr="00BB6A2B">
        <w:trPr>
          <w:trHeight w:val="386"/>
        </w:trPr>
        <w:tc>
          <w:tcPr>
            <w:tcW w:w="9853" w:type="dxa"/>
            <w:gridSpan w:val="3"/>
            <w:shd w:val="clear" w:color="auto" w:fill="FFFF00"/>
          </w:tcPr>
          <w:p w14:paraId="32B9A602" w14:textId="77777777" w:rsidR="001D36F3" w:rsidRPr="001D36F3" w:rsidRDefault="001D36F3" w:rsidP="00BB6A2B">
            <w:pPr>
              <w:pStyle w:val="Titre4"/>
              <w:spacing w:before="120" w:after="120"/>
              <w:jc w:val="center"/>
              <w:rPr>
                <w:rFonts w:ascii="Arial" w:hAnsi="Arial" w:cs="Arial"/>
                <w:b/>
                <w:bCs/>
                <w:i w:val="0"/>
                <w:iCs w:val="0"/>
                <w:color w:val="auto"/>
                <w:sz w:val="28"/>
              </w:rPr>
            </w:pPr>
            <w:r w:rsidRPr="001D36F3">
              <w:rPr>
                <w:rFonts w:ascii="Arial" w:hAnsi="Arial" w:cs="Arial"/>
                <w:b/>
                <w:bCs/>
                <w:i w:val="0"/>
                <w:iCs w:val="0"/>
                <w:color w:val="auto"/>
                <w:sz w:val="28"/>
              </w:rPr>
              <w:t>Réflexion 01 – Identifier les éléments du climat social de l’entreprise</w:t>
            </w:r>
          </w:p>
        </w:tc>
      </w:tr>
      <w:tr w:rsidR="001D36F3" w:rsidRPr="00A1499C" w14:paraId="781C1807" w14:textId="77777777" w:rsidTr="00BB6A2B">
        <w:trPr>
          <w:trHeight w:val="504"/>
        </w:trPr>
        <w:tc>
          <w:tcPr>
            <w:tcW w:w="1420" w:type="dxa"/>
            <w:shd w:val="clear" w:color="auto" w:fill="FFFF00"/>
            <w:vAlign w:val="center"/>
          </w:tcPr>
          <w:p w14:paraId="1C079C94" w14:textId="77777777" w:rsidR="001D36F3" w:rsidRPr="00267EE2" w:rsidRDefault="001D36F3" w:rsidP="00BB6A2B">
            <w:pPr>
              <w:spacing w:before="0"/>
              <w:jc w:val="center"/>
            </w:pPr>
            <w:r w:rsidRPr="00267EE2">
              <w:rPr>
                <w:b/>
              </w:rPr>
              <w:t>Durée</w:t>
            </w:r>
            <w:r w:rsidRPr="00267EE2">
              <w:t xml:space="preserve"> : </w:t>
            </w:r>
            <w:r>
              <w:t>15’</w:t>
            </w:r>
          </w:p>
        </w:tc>
        <w:tc>
          <w:tcPr>
            <w:tcW w:w="7542" w:type="dxa"/>
            <w:shd w:val="clear" w:color="auto" w:fill="FFFF00"/>
            <w:vAlign w:val="center"/>
          </w:tcPr>
          <w:p w14:paraId="6B0EA91D" w14:textId="32974F91" w:rsidR="001D36F3" w:rsidRPr="00267EE2" w:rsidRDefault="000B1316" w:rsidP="00BB6A2B">
            <w:pPr>
              <w:spacing w:before="0"/>
              <w:jc w:val="center"/>
            </w:pPr>
            <w:r>
              <w:rPr>
                <w:noProof/>
              </w:rPr>
              <w:drawing>
                <wp:inline distT="0" distB="0" distL="0" distR="0" wp14:anchorId="71D44BDC" wp14:editId="786F1D1F">
                  <wp:extent cx="324000" cy="324000"/>
                  <wp:effectExtent l="0" t="0" r="0" b="0"/>
                  <wp:docPr id="613276344"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276344" name="Graphique 613276344"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t>ou</w:t>
            </w:r>
            <w:r>
              <w:rPr>
                <w:noProof/>
              </w:rPr>
              <w:drawing>
                <wp:inline distT="0" distB="0" distL="0" distR="0" wp14:anchorId="59BD252C" wp14:editId="4847ED03">
                  <wp:extent cx="360000" cy="360000"/>
                  <wp:effectExtent l="0" t="0" r="0" b="2540"/>
                  <wp:docPr id="187867862"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67862" name="Graphique 187867862"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891" w:type="dxa"/>
            <w:shd w:val="clear" w:color="auto" w:fill="FFFF00"/>
            <w:vAlign w:val="center"/>
          </w:tcPr>
          <w:p w14:paraId="2C7AA516" w14:textId="77777777" w:rsidR="001D36F3" w:rsidRPr="00267EE2" w:rsidRDefault="001D36F3" w:rsidP="00BB6A2B">
            <w:pPr>
              <w:spacing w:before="0"/>
              <w:jc w:val="center"/>
            </w:pPr>
            <w:r>
              <w:t>Source</w:t>
            </w:r>
          </w:p>
        </w:tc>
      </w:tr>
    </w:tbl>
    <w:p w14:paraId="68D2B8FB" w14:textId="77777777" w:rsidR="001D36F3" w:rsidRDefault="001D36F3" w:rsidP="001D36F3">
      <w:pPr>
        <w:spacing w:before="240"/>
        <w:rPr>
          <w:b/>
          <w:noProof/>
          <w:sz w:val="24"/>
          <w:szCs w:val="24"/>
        </w:rPr>
      </w:pPr>
      <w:r w:rsidRPr="00267F49">
        <w:rPr>
          <w:b/>
          <w:noProof/>
          <w:sz w:val="24"/>
          <w:szCs w:val="24"/>
        </w:rPr>
        <w:t>Travail à faire</w:t>
      </w:r>
    </w:p>
    <w:p w14:paraId="770F5982" w14:textId="070E786A" w:rsidR="001D36F3" w:rsidRDefault="00A46B1E" w:rsidP="001D36F3">
      <w:r>
        <w:t xml:space="preserve">Après avoir lu </w:t>
      </w:r>
      <w:r w:rsidR="001D36F3" w:rsidRPr="00C641AF">
        <w:t xml:space="preserve">le </w:t>
      </w:r>
      <w:r w:rsidR="001D36F3" w:rsidRPr="00C021E7">
        <w:rPr>
          <w:b/>
          <w:bCs/>
        </w:rPr>
        <w:t>document</w:t>
      </w:r>
      <w:r>
        <w:t>,</w:t>
      </w:r>
      <w:r w:rsidR="001D36F3" w:rsidRPr="00C641AF">
        <w:t xml:space="preserve"> répondez aux questions suivantes</w:t>
      </w:r>
      <w:r w:rsidR="001D36F3">
        <w:t> :</w:t>
      </w:r>
    </w:p>
    <w:p w14:paraId="22E9D8BF" w14:textId="77777777" w:rsidR="001D36F3" w:rsidRPr="001D111E" w:rsidRDefault="001D36F3" w:rsidP="001D36F3">
      <w:pPr>
        <w:pStyle w:val="Paragraphedeliste"/>
        <w:numPr>
          <w:ilvl w:val="0"/>
          <w:numId w:val="8"/>
        </w:numPr>
      </w:pPr>
      <w:r w:rsidRPr="001D111E">
        <w:t>Quels ont été les symptômes du malaise social ?</w:t>
      </w:r>
    </w:p>
    <w:p w14:paraId="002CEF6F" w14:textId="77777777" w:rsidR="001D36F3" w:rsidRDefault="001D36F3" w:rsidP="001D36F3">
      <w:pPr>
        <w:pStyle w:val="Paragraphedeliste"/>
        <w:numPr>
          <w:ilvl w:val="0"/>
          <w:numId w:val="8"/>
        </w:numPr>
      </w:pPr>
      <w:r w:rsidRPr="001D111E">
        <w:t>Quels indicateurs révèlent une amélioration du climat social ?</w:t>
      </w:r>
    </w:p>
    <w:p w14:paraId="56EA12D8" w14:textId="77777777" w:rsidR="001D36F3" w:rsidRDefault="001D36F3" w:rsidP="001D36F3">
      <w:pPr>
        <w:pStyle w:val="Paragraphedeliste"/>
        <w:ind w:left="360"/>
        <w:rPr>
          <w:b/>
          <w:sz w:val="24"/>
        </w:rPr>
      </w:pPr>
    </w:p>
    <w:p w14:paraId="6CE1D809" w14:textId="77777777" w:rsidR="001D36F3" w:rsidRDefault="001D36F3" w:rsidP="001D36F3">
      <w:pPr>
        <w:pStyle w:val="Paragraphedeliste"/>
        <w:ind w:left="360"/>
        <w:rPr>
          <w:b/>
          <w:sz w:val="24"/>
        </w:rPr>
      </w:pPr>
    </w:p>
    <w:p w14:paraId="2F29CB41" w14:textId="74D1E0C4" w:rsidR="001D36F3" w:rsidRPr="001D111E" w:rsidRDefault="001D36F3" w:rsidP="001D36F3">
      <w:pPr>
        <w:pStyle w:val="Paragraphedeliste"/>
        <w:ind w:left="0"/>
      </w:pPr>
      <w:r w:rsidRPr="001D111E">
        <w:rPr>
          <w:b/>
          <w:color w:val="FFFFFF" w:themeColor="background1"/>
          <w:sz w:val="24"/>
          <w:highlight w:val="red"/>
        </w:rPr>
        <w:t>Doc. </w:t>
      </w:r>
      <w:r w:rsidRPr="001D111E">
        <w:rPr>
          <w:b/>
          <w:color w:val="FFFFFF" w:themeColor="background1"/>
          <w:sz w:val="24"/>
        </w:rPr>
        <w:t xml:space="preserve"> </w:t>
      </w:r>
      <w:r w:rsidRPr="001D111E">
        <w:rPr>
          <w:b/>
          <w:sz w:val="24"/>
        </w:rPr>
        <w:t>Le climat social est apaisé chez Orange</w:t>
      </w:r>
    </w:p>
    <w:p w14:paraId="71674B5C" w14:textId="77777777" w:rsidR="001D36F3" w:rsidRPr="00865E72" w:rsidRDefault="001D36F3" w:rsidP="001D36F3">
      <w:pPr>
        <w:jc w:val="left"/>
        <w:rPr>
          <w:rFonts w:ascii="Times New Roman" w:eastAsia="Times New Roman" w:hAnsi="Times New Roman"/>
          <w:i/>
          <w:sz w:val="18"/>
        </w:rPr>
      </w:pPr>
      <w:r w:rsidRPr="00865E72">
        <w:rPr>
          <w:i/>
          <w:sz w:val="18"/>
        </w:rPr>
        <w:t>Source : http://www.bfmtv.com/economie/climat-social-sapaise-chez-orange-562730.html</w:t>
      </w:r>
    </w:p>
    <w:p w14:paraId="22C304F4" w14:textId="77777777" w:rsidR="001D36F3" w:rsidRDefault="001D36F3" w:rsidP="001D36F3">
      <w:pPr>
        <w:jc w:val="left"/>
        <w:rPr>
          <w:b/>
          <w:sz w:val="24"/>
        </w:rPr>
      </w:pPr>
    </w:p>
    <w:p w14:paraId="2EA1DA49" w14:textId="77777777" w:rsidR="001D36F3" w:rsidRPr="00ED6D8C" w:rsidRDefault="001D36F3" w:rsidP="001D36F3">
      <w:pPr>
        <w:jc w:val="left"/>
        <w:rPr>
          <w:b/>
        </w:rPr>
      </w:pPr>
      <w:r w:rsidRPr="00ED6D8C">
        <w:rPr>
          <w:b/>
        </w:rPr>
        <w:t>Orange a publié, jeudi 18 juillet, son baromètre social mis en place après la vague de suicides en 2008-2009. Les salariés de l'entreprise se porteraient mieux.</w:t>
      </w:r>
    </w:p>
    <w:p w14:paraId="123FED9A" w14:textId="77777777" w:rsidR="001D36F3" w:rsidRPr="00ED6D8C" w:rsidRDefault="001D36F3" w:rsidP="001D36F3"/>
    <w:p w14:paraId="398AE092" w14:textId="77777777" w:rsidR="001D36F3" w:rsidRPr="00402B50" w:rsidRDefault="001D36F3" w:rsidP="001D36F3">
      <w:pPr>
        <w:rPr>
          <w:b/>
          <w:sz w:val="22"/>
          <w:szCs w:val="24"/>
        </w:rPr>
      </w:pPr>
      <w:r w:rsidRPr="00402B50">
        <w:rPr>
          <w:b/>
          <w:sz w:val="22"/>
          <w:szCs w:val="24"/>
        </w:rPr>
        <w:t>Moins d'absentéisme chez Orange (Jamal Henni)</w:t>
      </w:r>
    </w:p>
    <w:p w14:paraId="1FD620A6" w14:textId="77777777" w:rsidR="001D36F3" w:rsidRPr="00ED6D8C" w:rsidRDefault="001D36F3" w:rsidP="001D36F3">
      <w:r w:rsidRPr="00ED6D8C">
        <w:t>Le climat social est apaisé chez Orange. A quelques jours de ses résultats, le groupe vient de publier, jeudi 18 juillet, son dernier baromètre social. Une publication qui a lieu tous les six mois depuis la vague de suicides de 2008-2009. La page de la crise sociale semble bel et bien tournée.</w:t>
      </w:r>
    </w:p>
    <w:p w14:paraId="74AF5173" w14:textId="77777777" w:rsidR="001D36F3" w:rsidRPr="00ED6D8C" w:rsidRDefault="001D36F3" w:rsidP="001D36F3">
      <w:r w:rsidRPr="00ED6D8C">
        <w:t>Chez Orange, le taux d'absentéisme n'a jamais été aussi bas. Alors que les petites absences se font de plus en plus rares, le groupe a récupéré 200.000 journées de travail depuis 2009. A écouter Bruno Mettling, le DRH du groupe, c'est le signe par excellence que le malaise social a disparu.</w:t>
      </w:r>
    </w:p>
    <w:p w14:paraId="04D49E1E" w14:textId="77777777" w:rsidR="001D36F3" w:rsidRPr="00402B50" w:rsidRDefault="001D36F3" w:rsidP="001D36F3">
      <w:pPr>
        <w:spacing w:before="240"/>
        <w:rPr>
          <w:b/>
          <w:sz w:val="22"/>
          <w:szCs w:val="24"/>
        </w:rPr>
      </w:pPr>
      <w:r w:rsidRPr="00402B50">
        <w:rPr>
          <w:b/>
          <w:sz w:val="22"/>
          <w:szCs w:val="24"/>
        </w:rPr>
        <w:t xml:space="preserve">Situation économique délicate </w:t>
      </w:r>
    </w:p>
    <w:p w14:paraId="6BC2A9C1" w14:textId="77777777" w:rsidR="001D36F3" w:rsidRPr="00ED6D8C" w:rsidRDefault="001D36F3" w:rsidP="001D36F3">
      <w:r w:rsidRPr="00ED6D8C">
        <w:t>Aujourd'hui, 9 salariés d'Orange sur 10 estiment que leur qualité de vie au travail est au moins aussi bonne que dans les autres entreprises. Le jour et la nuit lorsqu'on se souvient de la vague de suicides de 2008-2009.</w:t>
      </w:r>
    </w:p>
    <w:p w14:paraId="25F74E8C" w14:textId="68AB6F0E" w:rsidR="001D36F3" w:rsidRPr="00ED6D8C" w:rsidRDefault="000F0BF8" w:rsidP="001D36F3">
      <w:r>
        <w:rPr>
          <w:rFonts w:cs="Arial"/>
        </w:rPr>
        <w:t>À</w:t>
      </w:r>
      <w:r w:rsidR="001D36F3" w:rsidRPr="00ED6D8C">
        <w:t xml:space="preserve"> l'époque, Orange avait chargé un cabinet externe de prendre la température. Salariés fatigués, stressés... 40</w:t>
      </w:r>
      <w:r w:rsidR="000B1316">
        <w:t> </w:t>
      </w:r>
      <w:r w:rsidR="001D36F3" w:rsidRPr="00ED6D8C">
        <w:t>% seulement se disaient fiers de travailler chez Orange. Aujourd'hui, ils sont deux fois plus nombreux.</w:t>
      </w:r>
    </w:p>
    <w:p w14:paraId="1B8D0709" w14:textId="3B61A0E1" w:rsidR="001D36F3" w:rsidRPr="00ED6D8C" w:rsidRDefault="000F0BF8" w:rsidP="001D36F3">
      <w:r>
        <w:rPr>
          <w:rFonts w:cs="Arial"/>
        </w:rPr>
        <w:t>É</w:t>
      </w:r>
      <w:r w:rsidR="001D36F3" w:rsidRPr="00ED6D8C">
        <w:t>videmment, ce baromètre ne signifie pas que tout est rose en interne, surtout alors que la situation économique des opérateurs français est très délicate. Mais elle légitime l'image de Stéphane Richard comme pacificateur de l'entreprise. Un statut qui lui vaut un fort soutien en interne, et lui a permis de sauver sa tête après sa mise en examen dans le cadre de l'affaire Tapie.</w:t>
      </w:r>
    </w:p>
    <w:p w14:paraId="0F91BC32" w14:textId="77777777" w:rsidR="001D36F3" w:rsidRDefault="001D36F3" w:rsidP="00320FCA">
      <w:pPr>
        <w:spacing w:before="0"/>
        <w:rPr>
          <w:rFonts w:cs="Arial"/>
          <w:b/>
          <w:sz w:val="24"/>
          <w:lang w:eastAsia="fr-FR"/>
        </w:rPr>
      </w:pPr>
    </w:p>
    <w:p w14:paraId="07B75A35" w14:textId="77777777" w:rsidR="001D36F3" w:rsidRDefault="001D36F3" w:rsidP="00320FCA">
      <w:pPr>
        <w:spacing w:before="0"/>
        <w:rPr>
          <w:rFonts w:cs="Arial"/>
          <w:b/>
          <w:sz w:val="24"/>
          <w:lang w:eastAsia="fr-FR"/>
        </w:rPr>
      </w:pPr>
    </w:p>
    <w:p w14:paraId="14E03856" w14:textId="77777777" w:rsidR="001D36F3" w:rsidRDefault="001D36F3" w:rsidP="00320FCA">
      <w:pPr>
        <w:spacing w:before="0"/>
        <w:rPr>
          <w:rFonts w:cs="Arial"/>
          <w:b/>
          <w:sz w:val="24"/>
          <w:lang w:eastAsia="fr-FR"/>
        </w:rPr>
      </w:pPr>
    </w:p>
    <w:p w14:paraId="73B1AACF" w14:textId="77777777" w:rsidR="001D36F3" w:rsidRDefault="001D36F3" w:rsidP="00320FCA">
      <w:pPr>
        <w:spacing w:before="0"/>
        <w:rPr>
          <w:rFonts w:cs="Arial"/>
          <w:b/>
          <w:sz w:val="24"/>
          <w:lang w:eastAsia="fr-FR"/>
        </w:rPr>
      </w:pPr>
    </w:p>
    <w:p w14:paraId="3EE31882" w14:textId="33940E13" w:rsidR="001A6892" w:rsidRPr="00552D6F" w:rsidRDefault="001D36F3" w:rsidP="000B1316">
      <w:pPr>
        <w:spacing w:before="0" w:after="120"/>
        <w:rPr>
          <w:rFonts w:cs="Arial"/>
          <w:b/>
          <w:sz w:val="24"/>
          <w:lang w:eastAsia="fr-FR"/>
        </w:rPr>
      </w:pPr>
      <w:r>
        <w:rPr>
          <w:rFonts w:cs="Arial"/>
          <w:b/>
          <w:sz w:val="24"/>
          <w:lang w:eastAsia="fr-FR"/>
        </w:rPr>
        <w:t>Réponses</w:t>
      </w:r>
    </w:p>
    <w:p w14:paraId="29300A98" w14:textId="77777777" w:rsidR="001A6892" w:rsidRPr="00552D6F" w:rsidRDefault="001A6892" w:rsidP="00320FCA">
      <w:pPr>
        <w:pStyle w:val="Paragraphedeliste"/>
        <w:numPr>
          <w:ilvl w:val="0"/>
          <w:numId w:val="1"/>
        </w:numPr>
        <w:spacing w:before="0"/>
        <w:rPr>
          <w:rFonts w:cs="Arial"/>
          <w:b/>
          <w:sz w:val="24"/>
        </w:rPr>
      </w:pPr>
      <w:r w:rsidRPr="00552D6F">
        <w:rPr>
          <w:rFonts w:cs="Arial"/>
          <w:b/>
          <w:sz w:val="24"/>
        </w:rPr>
        <w:t>Quels ont été les symptômes du malaise social ?</w:t>
      </w:r>
    </w:p>
    <w:p w14:paraId="33133B1E" w14:textId="77777777" w:rsidR="001A6892" w:rsidRPr="00552D6F" w:rsidRDefault="001A6892" w:rsidP="001A6892">
      <w:pPr>
        <w:spacing w:before="0"/>
        <w:rPr>
          <w:rFonts w:cs="Arial"/>
          <w:b/>
          <w:sz w:val="24"/>
        </w:rPr>
      </w:pPr>
    </w:p>
    <w:p w14:paraId="03CFB5D5" w14:textId="77777777" w:rsidR="001A6892" w:rsidRPr="00552D6F" w:rsidRDefault="001A6892" w:rsidP="001A6892">
      <w:pPr>
        <w:spacing w:before="0"/>
        <w:rPr>
          <w:rFonts w:cs="Arial"/>
          <w:b/>
          <w:sz w:val="24"/>
        </w:rPr>
      </w:pPr>
    </w:p>
    <w:p w14:paraId="527F6E3D" w14:textId="77777777" w:rsidR="001A6892" w:rsidRPr="00552D6F" w:rsidRDefault="001A6892" w:rsidP="001A6892">
      <w:pPr>
        <w:spacing w:before="0"/>
        <w:rPr>
          <w:rFonts w:cs="Arial"/>
          <w:b/>
          <w:sz w:val="24"/>
        </w:rPr>
      </w:pPr>
    </w:p>
    <w:p w14:paraId="7DB50D65" w14:textId="77777777" w:rsidR="001A6892" w:rsidRPr="00552D6F" w:rsidRDefault="001A6892" w:rsidP="001A6892">
      <w:pPr>
        <w:spacing w:before="0"/>
        <w:rPr>
          <w:rFonts w:cs="Arial"/>
          <w:b/>
          <w:sz w:val="24"/>
        </w:rPr>
      </w:pPr>
    </w:p>
    <w:p w14:paraId="25CFE9D5" w14:textId="77777777" w:rsidR="001A6892" w:rsidRPr="00552D6F" w:rsidRDefault="001A6892" w:rsidP="001A6892">
      <w:pPr>
        <w:spacing w:before="0"/>
        <w:rPr>
          <w:rFonts w:cs="Arial"/>
          <w:b/>
          <w:sz w:val="24"/>
        </w:rPr>
      </w:pPr>
    </w:p>
    <w:p w14:paraId="344A59E2" w14:textId="77777777" w:rsidR="001A6892" w:rsidRPr="00552D6F" w:rsidRDefault="001A6892" w:rsidP="00320FCA">
      <w:pPr>
        <w:pStyle w:val="Paragraphedeliste"/>
        <w:numPr>
          <w:ilvl w:val="0"/>
          <w:numId w:val="1"/>
        </w:numPr>
        <w:spacing w:before="0"/>
        <w:rPr>
          <w:rFonts w:cs="Arial"/>
          <w:b/>
          <w:sz w:val="24"/>
        </w:rPr>
      </w:pPr>
      <w:r w:rsidRPr="00552D6F">
        <w:rPr>
          <w:rFonts w:cs="Arial"/>
          <w:b/>
          <w:sz w:val="24"/>
        </w:rPr>
        <w:t>Quels indicateurs révèlent une amélioration du climat social ?</w:t>
      </w:r>
    </w:p>
    <w:p w14:paraId="23671436" w14:textId="77777777" w:rsidR="00C37138" w:rsidRPr="00552D6F" w:rsidRDefault="00C37138" w:rsidP="00C37138">
      <w:pPr>
        <w:spacing w:before="0"/>
        <w:ind w:firstLine="708"/>
        <w:rPr>
          <w:rFonts w:cs="Arial"/>
          <w:sz w:val="18"/>
        </w:rPr>
      </w:pPr>
    </w:p>
    <w:p w14:paraId="447F1EAE" w14:textId="77777777" w:rsidR="00C37138" w:rsidRDefault="00C37138" w:rsidP="00C37138">
      <w:pPr>
        <w:spacing w:before="0"/>
        <w:ind w:firstLine="708"/>
        <w:rPr>
          <w:rFonts w:cs="Arial"/>
        </w:rPr>
      </w:pPr>
    </w:p>
    <w:p w14:paraId="5BC8C27D" w14:textId="77777777" w:rsidR="00C37138" w:rsidRDefault="00C37138" w:rsidP="00C37138">
      <w:pPr>
        <w:spacing w:before="0"/>
        <w:ind w:firstLine="708"/>
        <w:rPr>
          <w:rFonts w:cs="Arial"/>
        </w:rPr>
      </w:pPr>
    </w:p>
    <w:sectPr w:rsidR="00C37138" w:rsidSect="001D36F3">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0506"/>
    <w:multiLevelType w:val="hybridMultilevel"/>
    <w:tmpl w:val="CE60D2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01765"/>
    <w:multiLevelType w:val="hybridMultilevel"/>
    <w:tmpl w:val="4C0831D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4AE342A"/>
    <w:multiLevelType w:val="hybridMultilevel"/>
    <w:tmpl w:val="A62A30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150D25"/>
    <w:multiLevelType w:val="hybridMultilevel"/>
    <w:tmpl w:val="FD22B4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627038"/>
    <w:multiLevelType w:val="hybridMultilevel"/>
    <w:tmpl w:val="E03E4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DC3A3A"/>
    <w:multiLevelType w:val="hybridMultilevel"/>
    <w:tmpl w:val="2594E5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02159FB"/>
    <w:multiLevelType w:val="hybridMultilevel"/>
    <w:tmpl w:val="679E87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52361C81"/>
    <w:multiLevelType w:val="hybridMultilevel"/>
    <w:tmpl w:val="56162562"/>
    <w:lvl w:ilvl="0" w:tplc="DC88E46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56307565">
    <w:abstractNumId w:val="5"/>
  </w:num>
  <w:num w:numId="2" w16cid:durableId="328873707">
    <w:abstractNumId w:val="3"/>
  </w:num>
  <w:num w:numId="3" w16cid:durableId="212155796">
    <w:abstractNumId w:val="6"/>
  </w:num>
  <w:num w:numId="4" w16cid:durableId="801927905">
    <w:abstractNumId w:val="0"/>
  </w:num>
  <w:num w:numId="5" w16cid:durableId="1315796039">
    <w:abstractNumId w:val="4"/>
  </w:num>
  <w:num w:numId="6" w16cid:durableId="383331519">
    <w:abstractNumId w:val="2"/>
  </w:num>
  <w:num w:numId="7" w16cid:durableId="758407663">
    <w:abstractNumId w:val="7"/>
  </w:num>
  <w:num w:numId="8" w16cid:durableId="994723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138"/>
    <w:rsid w:val="000B1316"/>
    <w:rsid w:val="000F0BF8"/>
    <w:rsid w:val="001A6892"/>
    <w:rsid w:val="001D36F3"/>
    <w:rsid w:val="00552D6F"/>
    <w:rsid w:val="006F1721"/>
    <w:rsid w:val="008B7A8E"/>
    <w:rsid w:val="009A46D0"/>
    <w:rsid w:val="00A46B1E"/>
    <w:rsid w:val="00B25020"/>
    <w:rsid w:val="00BF7EF2"/>
    <w:rsid w:val="00C021E7"/>
    <w:rsid w:val="00C37138"/>
    <w:rsid w:val="00D75027"/>
    <w:rsid w:val="00E46186"/>
    <w:rsid w:val="00EA78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C713F"/>
  <w15:chartTrackingRefBased/>
  <w15:docId w15:val="{796B3A64-DA63-4FDC-B48E-A7689956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138"/>
    <w:pPr>
      <w:spacing w:before="120" w:after="0" w:line="240" w:lineRule="auto"/>
      <w:jc w:val="both"/>
    </w:pPr>
    <w:rPr>
      <w:rFonts w:ascii="Arial" w:eastAsia="Calibri" w:hAnsi="Arial" w:cs="Times New Roman"/>
      <w:sz w:val="20"/>
    </w:rPr>
  </w:style>
  <w:style w:type="paragraph" w:styleId="Titre1">
    <w:name w:val="heading 1"/>
    <w:basedOn w:val="Normal"/>
    <w:next w:val="Normal"/>
    <w:link w:val="Titre1Car"/>
    <w:uiPriority w:val="9"/>
    <w:qFormat/>
    <w:rsid w:val="00C3713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Titre1"/>
    <w:next w:val="Normal"/>
    <w:link w:val="Titre2Car"/>
    <w:uiPriority w:val="9"/>
    <w:unhideWhenUsed/>
    <w:qFormat/>
    <w:rsid w:val="00C37138"/>
    <w:pPr>
      <w:spacing w:after="240"/>
      <w:outlineLvl w:val="1"/>
    </w:pPr>
    <w:rPr>
      <w:rFonts w:ascii="Arial" w:hAnsi="Arial"/>
      <w:b/>
      <w:bCs/>
      <w:color w:val="auto"/>
      <w:sz w:val="28"/>
      <w:szCs w:val="28"/>
    </w:rPr>
  </w:style>
  <w:style w:type="paragraph" w:styleId="Titre4">
    <w:name w:val="heading 4"/>
    <w:basedOn w:val="Normal"/>
    <w:next w:val="Normal"/>
    <w:link w:val="Titre4Car"/>
    <w:uiPriority w:val="9"/>
    <w:semiHidden/>
    <w:unhideWhenUsed/>
    <w:qFormat/>
    <w:rsid w:val="001D36F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37138"/>
    <w:rPr>
      <w:rFonts w:ascii="Arial" w:eastAsiaTheme="majorEastAsia" w:hAnsi="Arial" w:cstheme="majorBidi"/>
      <w:b/>
      <w:bCs/>
      <w:sz w:val="28"/>
      <w:szCs w:val="28"/>
    </w:rPr>
  </w:style>
  <w:style w:type="paragraph" w:styleId="Paragraphedeliste">
    <w:name w:val="List Paragraph"/>
    <w:basedOn w:val="Normal"/>
    <w:qFormat/>
    <w:rsid w:val="00C37138"/>
    <w:pPr>
      <w:ind w:left="720"/>
      <w:contextualSpacing/>
    </w:pPr>
  </w:style>
  <w:style w:type="table" w:styleId="Grilledutableau">
    <w:name w:val="Table Grid"/>
    <w:basedOn w:val="TableauNormal"/>
    <w:uiPriority w:val="59"/>
    <w:rsid w:val="00C371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nhideWhenUsed/>
    <w:rsid w:val="00C37138"/>
    <w:rPr>
      <w:color w:val="0000FF"/>
      <w:u w:val="single"/>
    </w:rPr>
  </w:style>
  <w:style w:type="character" w:customStyle="1" w:styleId="Titre1Car">
    <w:name w:val="Titre 1 Car"/>
    <w:basedOn w:val="Policepardfaut"/>
    <w:link w:val="Titre1"/>
    <w:uiPriority w:val="9"/>
    <w:rsid w:val="00C37138"/>
    <w:rPr>
      <w:rFonts w:asciiTheme="majorHAnsi" w:eastAsiaTheme="majorEastAsia" w:hAnsiTheme="majorHAnsi" w:cstheme="majorBidi"/>
      <w:color w:val="2E74B5" w:themeColor="accent1" w:themeShade="BF"/>
      <w:sz w:val="32"/>
      <w:szCs w:val="32"/>
    </w:rPr>
  </w:style>
  <w:style w:type="character" w:customStyle="1" w:styleId="Titre4Car">
    <w:name w:val="Titre 4 Car"/>
    <w:basedOn w:val="Policepardfaut"/>
    <w:link w:val="Titre4"/>
    <w:uiPriority w:val="9"/>
    <w:semiHidden/>
    <w:rsid w:val="001D36F3"/>
    <w:rPr>
      <w:rFonts w:asciiTheme="majorHAnsi" w:eastAsiaTheme="majorEastAsia" w:hAnsiTheme="majorHAnsi" w:cstheme="majorBidi"/>
      <w:i/>
      <w:iCs/>
      <w:color w:val="2E74B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338</Words>
  <Characters>1861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13</cp:revision>
  <dcterms:created xsi:type="dcterms:W3CDTF">2013-11-07T22:40:00Z</dcterms:created>
  <dcterms:modified xsi:type="dcterms:W3CDTF">2024-12-28T13:35:00Z</dcterms:modified>
</cp:coreProperties>
</file>