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062" w:type="dxa"/>
        <w:shd w:val="clear" w:color="auto" w:fill="92D050"/>
        <w:tblLook w:val="04A0" w:firstRow="1" w:lastRow="0" w:firstColumn="1" w:lastColumn="0" w:noHBand="0" w:noVBand="1"/>
      </w:tblPr>
      <w:tblGrid>
        <w:gridCol w:w="1781"/>
        <w:gridCol w:w="6861"/>
        <w:gridCol w:w="1420"/>
      </w:tblGrid>
      <w:tr w:rsidR="00764E3F" w14:paraId="199823EF" w14:textId="77777777" w:rsidTr="0054147B">
        <w:tc>
          <w:tcPr>
            <w:tcW w:w="8642" w:type="dxa"/>
            <w:gridSpan w:val="2"/>
            <w:shd w:val="clear" w:color="auto" w:fill="92D050"/>
            <w:vAlign w:val="center"/>
          </w:tcPr>
          <w:p w14:paraId="32E4CDF2" w14:textId="77777777" w:rsidR="00764E3F" w:rsidRPr="00E74865" w:rsidRDefault="00764E3F" w:rsidP="001D2846">
            <w:pPr>
              <w:spacing w:before="0"/>
              <w:jc w:val="center"/>
              <w:rPr>
                <w:b/>
                <w:bCs/>
                <w:sz w:val="28"/>
                <w:szCs w:val="32"/>
              </w:rPr>
            </w:pPr>
            <w:r w:rsidRPr="00E74865">
              <w:rPr>
                <w:b/>
                <w:bCs/>
                <w:sz w:val="28"/>
                <w:szCs w:val="32"/>
              </w:rPr>
              <w:t xml:space="preserve">Mission 2 </w:t>
            </w:r>
            <w:r>
              <w:rPr>
                <w:b/>
                <w:bCs/>
                <w:sz w:val="28"/>
                <w:szCs w:val="32"/>
              </w:rPr>
              <w:t>- C</w:t>
            </w:r>
            <w:r w:rsidRPr="00E74865">
              <w:rPr>
                <w:b/>
                <w:bCs/>
                <w:sz w:val="28"/>
                <w:szCs w:val="32"/>
              </w:rPr>
              <w:t xml:space="preserve">oncevoir un tableau de bord sous Excel </w:t>
            </w:r>
          </w:p>
        </w:tc>
        <w:tc>
          <w:tcPr>
            <w:tcW w:w="1420" w:type="dxa"/>
            <w:shd w:val="clear" w:color="auto" w:fill="92D050"/>
          </w:tcPr>
          <w:p w14:paraId="0EBD9209" w14:textId="60864D5F" w:rsidR="00764E3F" w:rsidRDefault="0054147B" w:rsidP="001D2846">
            <w:pPr>
              <w:spacing w:before="0"/>
              <w:rPr>
                <w:b/>
              </w:rPr>
            </w:pPr>
            <w:r>
              <w:rPr>
                <w:b/>
                <w:noProof/>
                <w:color w:val="262626" w:themeColor="text1" w:themeTint="D9"/>
                <w:sz w:val="36"/>
                <w:szCs w:val="36"/>
              </w:rPr>
              <w:drawing>
                <wp:inline distT="0" distB="0" distL="0" distR="0" wp14:anchorId="1B531C17" wp14:editId="5E696B61">
                  <wp:extent cx="737670" cy="720000"/>
                  <wp:effectExtent l="0" t="0" r="5715" b="4445"/>
                  <wp:docPr id="874580370" name="Image 1" descr="Une image contenant logo, Emblème, Marque, symbo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093465" name="Image 1" descr="Une image contenant logo, Emblème, Marque, symbole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7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E3F" w:rsidRPr="00772748" w14:paraId="649CAA72" w14:textId="77777777" w:rsidTr="0054147B">
        <w:tc>
          <w:tcPr>
            <w:tcW w:w="1781" w:type="dxa"/>
            <w:shd w:val="clear" w:color="auto" w:fill="92D050"/>
            <w:vAlign w:val="center"/>
          </w:tcPr>
          <w:p w14:paraId="7CA7584B" w14:textId="77777777" w:rsidR="00764E3F" w:rsidRPr="00772748" w:rsidRDefault="00764E3F" w:rsidP="001D2846">
            <w:pPr>
              <w:spacing w:before="0"/>
              <w:jc w:val="center"/>
              <w:rPr>
                <w:bCs/>
              </w:rPr>
            </w:pPr>
            <w:r w:rsidRPr="00772748">
              <w:rPr>
                <w:b/>
              </w:rPr>
              <w:t>Durée</w:t>
            </w:r>
            <w:r w:rsidRPr="00772748">
              <w:rPr>
                <w:bCs/>
              </w:rPr>
              <w:t xml:space="preserve"> : </w:t>
            </w:r>
            <w:r>
              <w:rPr>
                <w:bCs/>
              </w:rPr>
              <w:t>1 h 10</w:t>
            </w:r>
          </w:p>
        </w:tc>
        <w:tc>
          <w:tcPr>
            <w:tcW w:w="6861" w:type="dxa"/>
            <w:shd w:val="clear" w:color="auto" w:fill="92D050"/>
            <w:vAlign w:val="center"/>
          </w:tcPr>
          <w:p w14:paraId="3AF33899" w14:textId="11AC4CC6" w:rsidR="00764E3F" w:rsidRPr="00772748" w:rsidRDefault="002E0144" w:rsidP="001D2846">
            <w:pPr>
              <w:spacing w:before="0"/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1A09FF3B" wp14:editId="0C912FDC">
                  <wp:extent cx="324000" cy="324000"/>
                  <wp:effectExtent l="0" t="0" r="0" b="0"/>
                  <wp:docPr id="1471675322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675322" name="Graphique 1471675322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t>ou</w:t>
            </w:r>
            <w:proofErr w:type="gramEnd"/>
            <w:r>
              <w:rPr>
                <w:noProof/>
              </w:rPr>
              <w:drawing>
                <wp:inline distT="0" distB="0" distL="0" distR="0" wp14:anchorId="38E5D1F4" wp14:editId="63B45EF8">
                  <wp:extent cx="360000" cy="360000"/>
                  <wp:effectExtent l="0" t="0" r="0" b="2540"/>
                  <wp:docPr id="1546240162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240162" name="Graphique 1546240162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shd w:val="clear" w:color="auto" w:fill="92D050"/>
            <w:vAlign w:val="center"/>
          </w:tcPr>
          <w:p w14:paraId="1FCF0918" w14:textId="77777777" w:rsidR="00764E3F" w:rsidRPr="00772748" w:rsidRDefault="00764E3F" w:rsidP="001D2846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Source | Excel</w:t>
            </w:r>
          </w:p>
        </w:tc>
      </w:tr>
    </w:tbl>
    <w:p w14:paraId="38DC5B67" w14:textId="77777777" w:rsidR="0054147B" w:rsidRPr="008A51F8" w:rsidRDefault="0054147B" w:rsidP="0054147B">
      <w:pPr>
        <w:spacing w:before="240" w:after="120"/>
        <w:rPr>
          <w:rFonts w:cs="Calibri"/>
          <w:b/>
          <w:bCs/>
          <w:sz w:val="24"/>
        </w:rPr>
      </w:pPr>
      <w:bookmarkStart w:id="0" w:name="_Hlk184889836"/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1DF52951" wp14:editId="1324D10F">
            <wp:simplePos x="0" y="0"/>
            <wp:positionH relativeFrom="column">
              <wp:posOffset>3528060</wp:posOffset>
            </wp:positionH>
            <wp:positionV relativeFrom="paragraph">
              <wp:posOffset>242570</wp:posOffset>
            </wp:positionV>
            <wp:extent cx="2823210" cy="1623695"/>
            <wp:effectExtent l="0" t="0" r="0" b="0"/>
            <wp:wrapSquare wrapText="bothSides"/>
            <wp:docPr id="1064914314" name="Image 24" descr="Une image contenant scène, intérieur, meubles, so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914314" name="Image 24" descr="Une image contenant scène, intérieur, meubles, sol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1F8">
        <w:rPr>
          <w:rFonts w:cs="Calibri"/>
          <w:b/>
          <w:bCs/>
          <w:sz w:val="24"/>
        </w:rPr>
        <w:t xml:space="preserve">Contexte professionnel </w:t>
      </w:r>
    </w:p>
    <w:p w14:paraId="78AB5435" w14:textId="77777777" w:rsidR="0054147B" w:rsidRPr="005A3BDD" w:rsidRDefault="0054147B" w:rsidP="0054147B">
      <w:pPr>
        <w:jc w:val="both"/>
        <w:rPr>
          <w:szCs w:val="20"/>
        </w:rPr>
      </w:pPr>
      <w:r w:rsidRPr="005A3BDD">
        <w:rPr>
          <w:szCs w:val="20"/>
        </w:rPr>
        <w:t>La société Demeter a été créée par Eliane Combaz. Elle est spécialisée dans l’achat</w:t>
      </w:r>
      <w:r>
        <w:rPr>
          <w:szCs w:val="20"/>
        </w:rPr>
        <w:t>/</w:t>
      </w:r>
      <w:r w:rsidRPr="005A3BDD">
        <w:rPr>
          <w:szCs w:val="20"/>
        </w:rPr>
        <w:t>vente de produits alimentaires issus de l’agriculture biologique ou raisonnée.</w:t>
      </w:r>
      <w:r>
        <w:rPr>
          <w:szCs w:val="20"/>
        </w:rPr>
        <w:t xml:space="preserve"> La société emploie 65 salariés.</w:t>
      </w:r>
    </w:p>
    <w:p w14:paraId="5FCA74A1" w14:textId="77777777" w:rsidR="0054147B" w:rsidRDefault="0054147B" w:rsidP="0054147B">
      <w:pPr>
        <w:pStyle w:val="Paragraphedeliste"/>
        <w:numPr>
          <w:ilvl w:val="0"/>
          <w:numId w:val="3"/>
        </w:numPr>
        <w:spacing w:before="0" w:after="120"/>
        <w:ind w:left="142" w:hanging="142"/>
        <w:jc w:val="both"/>
        <w:rPr>
          <w:szCs w:val="20"/>
        </w:rPr>
      </w:pPr>
      <w:r w:rsidRPr="00561A2D">
        <w:rPr>
          <w:szCs w:val="20"/>
        </w:rPr>
        <w:t xml:space="preserve">Ses fournisseurs sont des producteurs nationaux ou étrangers qui répondent à une charte éthique stricte de la société. </w:t>
      </w:r>
    </w:p>
    <w:p w14:paraId="74E93C98" w14:textId="77777777" w:rsidR="0054147B" w:rsidRPr="00561A2D" w:rsidRDefault="0054147B" w:rsidP="0054147B">
      <w:pPr>
        <w:pStyle w:val="Paragraphedeliste"/>
        <w:numPr>
          <w:ilvl w:val="0"/>
          <w:numId w:val="3"/>
        </w:numPr>
        <w:spacing w:before="0" w:after="120"/>
        <w:ind w:left="142" w:hanging="142"/>
        <w:jc w:val="both"/>
        <w:rPr>
          <w:szCs w:val="20"/>
        </w:rPr>
      </w:pPr>
      <w:r w:rsidRPr="00561A2D">
        <w:rPr>
          <w:szCs w:val="20"/>
        </w:rPr>
        <w:t xml:space="preserve">Ses clients sont des magasins spécialisés dans le commerce de produits biologiques et depuis 2 ans </w:t>
      </w:r>
      <w:r>
        <w:rPr>
          <w:szCs w:val="20"/>
        </w:rPr>
        <w:t xml:space="preserve">certaines lignes de produits sont </w:t>
      </w:r>
      <w:r w:rsidRPr="00561A2D">
        <w:rPr>
          <w:szCs w:val="20"/>
        </w:rPr>
        <w:t>référenc</w:t>
      </w:r>
      <w:r>
        <w:rPr>
          <w:szCs w:val="20"/>
        </w:rPr>
        <w:t>ées</w:t>
      </w:r>
      <w:r w:rsidRPr="00561A2D">
        <w:rPr>
          <w:szCs w:val="20"/>
        </w:rPr>
        <w:t xml:space="preserve"> dans </w:t>
      </w:r>
      <w:r>
        <w:rPr>
          <w:szCs w:val="20"/>
        </w:rPr>
        <w:t xml:space="preserve">des </w:t>
      </w:r>
      <w:r w:rsidRPr="00561A2D">
        <w:rPr>
          <w:szCs w:val="20"/>
        </w:rPr>
        <w:t>supermarchés régionaux.</w:t>
      </w:r>
    </w:p>
    <w:p w14:paraId="32C699F1" w14:textId="77777777" w:rsidR="0054147B" w:rsidRDefault="0054147B" w:rsidP="0054147B">
      <w:pPr>
        <w:jc w:val="both"/>
        <w:rPr>
          <w:szCs w:val="20"/>
        </w:rPr>
      </w:pPr>
      <w:r w:rsidRPr="005A3BDD">
        <w:rPr>
          <w:szCs w:val="20"/>
        </w:rPr>
        <w:t>Par ailleurs, elle a développé des petites superettes de proximité</w:t>
      </w:r>
      <w:r>
        <w:rPr>
          <w:szCs w:val="20"/>
        </w:rPr>
        <w:t xml:space="preserve"> </w:t>
      </w:r>
      <w:r w:rsidRPr="005A3BDD">
        <w:rPr>
          <w:szCs w:val="20"/>
        </w:rPr>
        <w:t>qui permettent de faire de la vente directe aux particuliers.</w:t>
      </w:r>
      <w:r>
        <w:rPr>
          <w:szCs w:val="20"/>
        </w:rPr>
        <w:t xml:space="preserve"> Ces superettes promeuvent les circuits courts et la production locale.</w:t>
      </w:r>
    </w:p>
    <w:p w14:paraId="080C7CCF" w14:textId="77777777" w:rsidR="0054147B" w:rsidRDefault="0054147B" w:rsidP="0054147B">
      <w:pPr>
        <w:spacing w:after="120"/>
        <w:jc w:val="both"/>
      </w:pPr>
      <w:r w:rsidRPr="00935B59">
        <w:t>La prochaine réunion</w:t>
      </w:r>
      <w:r>
        <w:t xml:space="preserve"> </w:t>
      </w:r>
      <w:r w:rsidRPr="00935B59">
        <w:t>du comité</w:t>
      </w:r>
      <w:r>
        <w:t xml:space="preserve"> </w:t>
      </w:r>
      <w:r w:rsidRPr="00935B59">
        <w:t>social et économique</w:t>
      </w:r>
      <w:r>
        <w:t xml:space="preserve"> </w:t>
      </w:r>
      <w:r w:rsidRPr="00935B59">
        <w:t>sera consacré</w:t>
      </w:r>
      <w:r>
        <w:t>e</w:t>
      </w:r>
      <w:r w:rsidRPr="00935B59">
        <w:t xml:space="preserve"> à l'égalité hommes-femmes</w:t>
      </w:r>
      <w:r>
        <w:t xml:space="preserve"> </w:t>
      </w:r>
      <w:r w:rsidRPr="00935B59">
        <w:t>au sein de l'entreprise</w:t>
      </w:r>
      <w:r>
        <w:t>. L</w:t>
      </w:r>
      <w:r w:rsidRPr="00935B59">
        <w:t>es délégués du personnel</w:t>
      </w:r>
      <w:r>
        <w:t xml:space="preserve"> </w:t>
      </w:r>
      <w:r w:rsidRPr="00935B59">
        <w:t>on</w:t>
      </w:r>
      <w:r>
        <w:t>t</w:t>
      </w:r>
      <w:r w:rsidRPr="00935B59">
        <w:t xml:space="preserve"> demand</w:t>
      </w:r>
      <w:r>
        <w:t>é</w:t>
      </w:r>
      <w:r w:rsidRPr="00935B59">
        <w:t xml:space="preserve"> une étude</w:t>
      </w:r>
      <w:r>
        <w:t xml:space="preserve"> </w:t>
      </w:r>
      <w:r w:rsidRPr="00935B59">
        <w:t>concernant</w:t>
      </w:r>
      <w:r>
        <w:t xml:space="preserve"> </w:t>
      </w:r>
      <w:r w:rsidRPr="00935B59">
        <w:t xml:space="preserve">l'égalité hommes-femmes </w:t>
      </w:r>
      <w:r>
        <w:t>concernant la formation et la promotion interne. Ils pensent que les femmes font l’objet de discriminations dans ces deux domaines.</w:t>
      </w:r>
    </w:p>
    <w:p w14:paraId="621CC4E6" w14:textId="77777777" w:rsidR="0054147B" w:rsidRPr="00935B59" w:rsidRDefault="0054147B" w:rsidP="0054147B">
      <w:pPr>
        <w:jc w:val="both"/>
      </w:pPr>
      <w:r w:rsidRPr="00935B59">
        <w:t>M</w:t>
      </w:r>
      <w:r w:rsidRPr="00043A59">
        <w:rPr>
          <w:vertAlign w:val="superscript"/>
        </w:rPr>
        <w:t>me</w:t>
      </w:r>
      <w:r w:rsidRPr="00935B59">
        <w:t xml:space="preserve"> </w:t>
      </w:r>
      <w:r>
        <w:t>C</w:t>
      </w:r>
      <w:r w:rsidRPr="00935B59">
        <w:t>ombaz</w:t>
      </w:r>
      <w:r>
        <w:t xml:space="preserve"> </w:t>
      </w:r>
      <w:r w:rsidRPr="00935B59">
        <w:t xml:space="preserve">vous remet </w:t>
      </w:r>
      <w:r>
        <w:t>le tableau de l’effectif de l’entreprise et son évolution depuis 2 ans (</w:t>
      </w:r>
      <w:proofErr w:type="gramStart"/>
      <w:r>
        <w:t xml:space="preserve">onglet </w:t>
      </w:r>
      <w:r w:rsidRPr="007674EB">
        <w:rPr>
          <w:b/>
          <w:bCs/>
        </w:rPr>
        <w:t>effectifs</w:t>
      </w:r>
      <w:proofErr w:type="gramEnd"/>
      <w:r>
        <w:t xml:space="preserve"> du </w:t>
      </w:r>
      <w:r w:rsidRPr="00652697">
        <w:t>fichier</w:t>
      </w:r>
      <w:r>
        <w:rPr>
          <w:b/>
          <w:bCs/>
        </w:rPr>
        <w:t xml:space="preserve"> Excel </w:t>
      </w:r>
      <w:r w:rsidRPr="00652697">
        <w:t>ou</w:t>
      </w:r>
      <w:r>
        <w:rPr>
          <w:b/>
          <w:bCs/>
        </w:rPr>
        <w:t xml:space="preserve"> document 2</w:t>
      </w:r>
      <w:r>
        <w:t xml:space="preserve">) ainsi que le tableau récapitulatif des </w:t>
      </w:r>
      <w:r w:rsidRPr="00935B59">
        <w:t>formations qui ont été suivies au cours de l'année</w:t>
      </w:r>
      <w:r>
        <w:t xml:space="preserve"> </w:t>
      </w:r>
      <w:r w:rsidRPr="00935B59">
        <w:t>par le personnel</w:t>
      </w:r>
      <w:r>
        <w:t xml:space="preserve"> </w:t>
      </w:r>
      <w:r w:rsidRPr="00935B59">
        <w:t>de la société</w:t>
      </w:r>
      <w:r>
        <w:t xml:space="preserve"> (onglet </w:t>
      </w:r>
      <w:r w:rsidRPr="007674EB">
        <w:rPr>
          <w:b/>
          <w:bCs/>
        </w:rPr>
        <w:t>Statistique</w:t>
      </w:r>
      <w:r>
        <w:rPr>
          <w:b/>
          <w:bCs/>
        </w:rPr>
        <w:t>s</w:t>
      </w:r>
      <w:r>
        <w:t xml:space="preserve"> </w:t>
      </w:r>
      <w:r w:rsidRPr="007674EB">
        <w:rPr>
          <w:b/>
          <w:bCs/>
        </w:rPr>
        <w:t>formation</w:t>
      </w:r>
      <w:r>
        <w:t xml:space="preserve"> ou </w:t>
      </w:r>
      <w:r w:rsidRPr="007674EB">
        <w:rPr>
          <w:b/>
          <w:bCs/>
        </w:rPr>
        <w:t xml:space="preserve">document </w:t>
      </w:r>
      <w:r>
        <w:rPr>
          <w:b/>
          <w:bCs/>
        </w:rPr>
        <w:t>3</w:t>
      </w:r>
      <w:r>
        <w:t xml:space="preserve">). Vous devez </w:t>
      </w:r>
      <w:r w:rsidRPr="00935B59">
        <w:t>analyser</w:t>
      </w:r>
      <w:r>
        <w:t xml:space="preserve"> ces données en prévision de la prochaine réunion du CSE.</w:t>
      </w:r>
    </w:p>
    <w:p w14:paraId="04BA9223" w14:textId="77777777" w:rsidR="0054147B" w:rsidRDefault="0054147B" w:rsidP="0054147B"/>
    <w:p w14:paraId="0484EF62" w14:textId="77777777" w:rsidR="0054147B" w:rsidRPr="008A51F8" w:rsidRDefault="0054147B" w:rsidP="0054147B">
      <w:pPr>
        <w:spacing w:before="0" w:after="120"/>
        <w:jc w:val="both"/>
        <w:rPr>
          <w:rFonts w:cs="Arial"/>
          <w:b/>
          <w:sz w:val="24"/>
        </w:rPr>
      </w:pPr>
      <w:r w:rsidRPr="008A51F8">
        <w:rPr>
          <w:rFonts w:cs="Arial"/>
          <w:b/>
          <w:sz w:val="24"/>
        </w:rPr>
        <w:t>Travail à faire</w:t>
      </w:r>
    </w:p>
    <w:p w14:paraId="7AE02B96" w14:textId="77777777" w:rsidR="0054147B" w:rsidRDefault="0054147B" w:rsidP="0054147B">
      <w:pPr>
        <w:pStyle w:val="Paragraphedeliste"/>
        <w:numPr>
          <w:ilvl w:val="0"/>
          <w:numId w:val="1"/>
        </w:numPr>
        <w:spacing w:before="0" w:after="120"/>
        <w:jc w:val="both"/>
        <w:rPr>
          <w:rFonts w:cs="Arial"/>
          <w:bCs/>
        </w:rPr>
      </w:pPr>
      <w:r>
        <w:rPr>
          <w:rFonts w:cs="Arial"/>
          <w:bCs/>
        </w:rPr>
        <w:t xml:space="preserve">Téléchargez le fichier Excel. </w:t>
      </w:r>
    </w:p>
    <w:p w14:paraId="04F5010C" w14:textId="77777777" w:rsidR="0054147B" w:rsidRDefault="0054147B" w:rsidP="0054147B">
      <w:pPr>
        <w:pStyle w:val="Paragraphedeliste"/>
        <w:numPr>
          <w:ilvl w:val="0"/>
          <w:numId w:val="1"/>
        </w:numPr>
        <w:spacing w:before="0" w:after="120"/>
        <w:jc w:val="both"/>
        <w:rPr>
          <w:rFonts w:cs="Arial"/>
          <w:bCs/>
        </w:rPr>
      </w:pPr>
      <w:r>
        <w:rPr>
          <w:rFonts w:cs="Arial"/>
          <w:bCs/>
        </w:rPr>
        <w:t>Calculez la répartition en pourcentage des effectifs par genre et par catégorie professionnelle et leurs évolutions en valeurs absolues et relatives.</w:t>
      </w:r>
    </w:p>
    <w:p w14:paraId="4635DE09" w14:textId="77777777" w:rsidR="0054147B" w:rsidRPr="007674EB" w:rsidRDefault="0054147B" w:rsidP="0054147B">
      <w:pPr>
        <w:pStyle w:val="Paragraphedeliste"/>
        <w:numPr>
          <w:ilvl w:val="0"/>
          <w:numId w:val="1"/>
        </w:numPr>
        <w:spacing w:before="0" w:after="120"/>
        <w:jc w:val="both"/>
        <w:rPr>
          <w:rFonts w:cs="Arial"/>
          <w:bCs/>
        </w:rPr>
      </w:pPr>
      <w:r>
        <w:rPr>
          <w:rFonts w:cs="Arial"/>
          <w:bCs/>
        </w:rPr>
        <w:t>Représentez à l’aide de graphiques les données les plus pertinentes à présenter lors du CSE.</w:t>
      </w:r>
    </w:p>
    <w:p w14:paraId="1B93CD59" w14:textId="77777777" w:rsidR="0054147B" w:rsidRPr="001A1483" w:rsidRDefault="0054147B" w:rsidP="0054147B">
      <w:pPr>
        <w:pStyle w:val="Paragraphedeliste"/>
        <w:numPr>
          <w:ilvl w:val="0"/>
          <w:numId w:val="1"/>
        </w:numPr>
        <w:spacing w:before="0" w:after="120"/>
        <w:jc w:val="both"/>
        <w:rPr>
          <w:rFonts w:cs="Arial"/>
          <w:bCs/>
        </w:rPr>
      </w:pPr>
      <w:r w:rsidRPr="001A1483">
        <w:rPr>
          <w:rFonts w:cs="Arial"/>
          <w:bCs/>
        </w:rPr>
        <w:t>Proposez des indicateurs pertinents d’analyse des</w:t>
      </w:r>
      <w:r>
        <w:rPr>
          <w:rFonts w:cs="Arial"/>
          <w:bCs/>
        </w:rPr>
        <w:t xml:space="preserve"> statistiques de formation en rapport à l’ordre du jour du prochain CSE.</w:t>
      </w:r>
    </w:p>
    <w:p w14:paraId="10398D27" w14:textId="77777777" w:rsidR="0054147B" w:rsidRDefault="0054147B" w:rsidP="0054147B">
      <w:pPr>
        <w:pStyle w:val="Paragraphedeliste"/>
        <w:numPr>
          <w:ilvl w:val="0"/>
          <w:numId w:val="1"/>
        </w:numPr>
        <w:spacing w:before="0" w:after="120"/>
        <w:jc w:val="both"/>
        <w:rPr>
          <w:rFonts w:cs="Arial"/>
          <w:bCs/>
        </w:rPr>
      </w:pPr>
      <w:r w:rsidRPr="001A1483">
        <w:rPr>
          <w:rFonts w:cs="Arial"/>
          <w:bCs/>
        </w:rPr>
        <w:t>Mettez en œuvre ces indicateurs sous Excel et présente</w:t>
      </w:r>
      <w:r>
        <w:rPr>
          <w:rFonts w:cs="Arial"/>
          <w:bCs/>
        </w:rPr>
        <w:t>z</w:t>
      </w:r>
      <w:r w:rsidRPr="001A1483">
        <w:rPr>
          <w:rFonts w:cs="Arial"/>
          <w:bCs/>
        </w:rPr>
        <w:t xml:space="preserve"> vos résultats dans un tableau de bord avec données et graphiques.</w:t>
      </w:r>
    </w:p>
    <w:p w14:paraId="0AE8BF07" w14:textId="77777777" w:rsidR="0054147B" w:rsidRDefault="0054147B" w:rsidP="0054147B">
      <w:pPr>
        <w:pStyle w:val="Paragraphedeliste"/>
        <w:numPr>
          <w:ilvl w:val="0"/>
          <w:numId w:val="1"/>
        </w:numPr>
        <w:spacing w:before="0" w:after="120"/>
        <w:jc w:val="both"/>
        <w:rPr>
          <w:rFonts w:cs="Arial"/>
          <w:bCs/>
        </w:rPr>
      </w:pPr>
      <w:r>
        <w:rPr>
          <w:rFonts w:cs="Arial"/>
          <w:bCs/>
        </w:rPr>
        <w:t>Présentez vos résultats dans une note à M</w:t>
      </w:r>
      <w:r w:rsidRPr="00A00191">
        <w:rPr>
          <w:rFonts w:cs="Arial"/>
          <w:bCs/>
          <w:vertAlign w:val="superscript"/>
        </w:rPr>
        <w:t>me</w:t>
      </w:r>
      <w:r>
        <w:rPr>
          <w:rFonts w:cs="Arial"/>
          <w:bCs/>
        </w:rPr>
        <w:t xml:space="preserve"> Combaz.</w:t>
      </w:r>
    </w:p>
    <w:bookmarkEnd w:id="0"/>
    <w:p w14:paraId="0BCF4F80" w14:textId="77777777" w:rsidR="00764E3F" w:rsidRPr="001A1483" w:rsidRDefault="00764E3F" w:rsidP="00764E3F">
      <w:pPr>
        <w:pStyle w:val="Paragraphedeliste"/>
        <w:spacing w:before="0" w:after="120"/>
        <w:ind w:left="360"/>
        <w:jc w:val="both"/>
        <w:rPr>
          <w:rFonts w:cs="Arial"/>
          <w:bCs/>
        </w:rPr>
      </w:pPr>
    </w:p>
    <w:p w14:paraId="2B299966" w14:textId="77777777" w:rsidR="00764E3F" w:rsidRDefault="00764E3F" w:rsidP="00764E3F">
      <w:pPr>
        <w:pStyle w:val="Titre2"/>
      </w:pPr>
      <w:r w:rsidRPr="003D3034">
        <w:rPr>
          <w:color w:val="FFFFFF" w:themeColor="background1"/>
          <w:highlight w:val="red"/>
        </w:rPr>
        <w:t>Doc. 1</w:t>
      </w:r>
      <w:r w:rsidRPr="003D3034">
        <w:rPr>
          <w:color w:val="FFFFFF" w:themeColor="background1"/>
        </w:rPr>
        <w:t xml:space="preserve"> </w:t>
      </w:r>
      <w:r>
        <w:t>L’égalité professionnelle Femme-Homme</w:t>
      </w:r>
    </w:p>
    <w:p w14:paraId="75EEA4DC" w14:textId="77777777" w:rsidR="00764E3F" w:rsidRPr="003D3034" w:rsidRDefault="00764E3F" w:rsidP="00764E3F">
      <w:pPr>
        <w:spacing w:before="0"/>
        <w:rPr>
          <w:i/>
          <w:iCs/>
          <w:sz w:val="18"/>
          <w:szCs w:val="20"/>
        </w:rPr>
      </w:pPr>
      <w:r w:rsidRPr="003D3034">
        <w:rPr>
          <w:i/>
          <w:iCs/>
          <w:sz w:val="18"/>
          <w:szCs w:val="20"/>
        </w:rPr>
        <w:t xml:space="preserve">Source : </w:t>
      </w:r>
      <w:hyperlink r:id="rId11" w:history="1">
        <w:r w:rsidRPr="003D3034">
          <w:rPr>
            <w:rStyle w:val="Lienhypertexte"/>
            <w:i/>
            <w:iCs/>
            <w:sz w:val="18"/>
            <w:szCs w:val="20"/>
          </w:rPr>
          <w:t>Egalité professionnelle : ce que dit le code du travail (travail-emploi.gouv.fr)</w:t>
        </w:r>
      </w:hyperlink>
    </w:p>
    <w:p w14:paraId="5F377EB6" w14:textId="77777777" w:rsidR="00764E3F" w:rsidRPr="00935B59" w:rsidRDefault="00764E3F" w:rsidP="00764E3F">
      <w:pPr>
        <w:jc w:val="both"/>
        <w:rPr>
          <w:lang w:eastAsia="fr-FR"/>
        </w:rPr>
      </w:pPr>
      <w:r w:rsidRPr="00935B59">
        <w:rPr>
          <w:lang w:eastAsia="fr-FR"/>
        </w:rPr>
        <w:t>L’égalité de traitement entre les femmes et les hommes dans le travail implique le respect de plusieurs principes par l’employeur :</w:t>
      </w:r>
    </w:p>
    <w:p w14:paraId="6F04F072" w14:textId="77777777" w:rsidR="00764E3F" w:rsidRPr="00935B59" w:rsidRDefault="00764E3F" w:rsidP="00764E3F">
      <w:pPr>
        <w:pStyle w:val="Paragraphedeliste"/>
        <w:numPr>
          <w:ilvl w:val="0"/>
          <w:numId w:val="2"/>
        </w:numPr>
        <w:jc w:val="both"/>
        <w:rPr>
          <w:lang w:eastAsia="fr-FR"/>
        </w:rPr>
      </w:pPr>
      <w:proofErr w:type="gramStart"/>
      <w:r w:rsidRPr="00935B59">
        <w:rPr>
          <w:lang w:eastAsia="fr-FR"/>
        </w:rPr>
        <w:t>interdictions</w:t>
      </w:r>
      <w:proofErr w:type="gramEnd"/>
      <w:r w:rsidRPr="00935B59">
        <w:rPr>
          <w:lang w:eastAsia="fr-FR"/>
        </w:rPr>
        <w:t xml:space="preserve"> des discriminations en matière d’embauche,</w:t>
      </w:r>
    </w:p>
    <w:p w14:paraId="2B892792" w14:textId="77777777" w:rsidR="00764E3F" w:rsidRPr="00935B59" w:rsidRDefault="00764E3F" w:rsidP="00764E3F">
      <w:pPr>
        <w:pStyle w:val="Paragraphedeliste"/>
        <w:numPr>
          <w:ilvl w:val="0"/>
          <w:numId w:val="2"/>
        </w:numPr>
        <w:jc w:val="both"/>
        <w:rPr>
          <w:lang w:eastAsia="fr-FR"/>
        </w:rPr>
      </w:pPr>
      <w:proofErr w:type="gramStart"/>
      <w:r w:rsidRPr="00935B59">
        <w:rPr>
          <w:lang w:eastAsia="fr-FR"/>
        </w:rPr>
        <w:t>absence</w:t>
      </w:r>
      <w:proofErr w:type="gramEnd"/>
      <w:r w:rsidRPr="00935B59">
        <w:rPr>
          <w:lang w:eastAsia="fr-FR"/>
        </w:rPr>
        <w:t xml:space="preserve"> de différenciation en matière de rémunération et de déroulement de carrière,</w:t>
      </w:r>
    </w:p>
    <w:p w14:paraId="47BFE414" w14:textId="77777777" w:rsidR="00764E3F" w:rsidRPr="00935B59" w:rsidRDefault="00764E3F" w:rsidP="00764E3F">
      <w:pPr>
        <w:pStyle w:val="Paragraphedeliste"/>
        <w:numPr>
          <w:ilvl w:val="0"/>
          <w:numId w:val="2"/>
        </w:numPr>
        <w:jc w:val="both"/>
        <w:rPr>
          <w:lang w:eastAsia="fr-FR"/>
        </w:rPr>
      </w:pPr>
      <w:proofErr w:type="gramStart"/>
      <w:r w:rsidRPr="00935B59">
        <w:rPr>
          <w:lang w:eastAsia="fr-FR"/>
        </w:rPr>
        <w:t>obligations</w:t>
      </w:r>
      <w:proofErr w:type="gramEnd"/>
      <w:r w:rsidRPr="00935B59">
        <w:rPr>
          <w:lang w:eastAsia="fr-FR"/>
        </w:rPr>
        <w:t xml:space="preserve"> vis-à-vis des représentants du personnel (mise à disposition d’informations relatives à l’égalité professionnelle dans la base de données économiques et sociales, négociation),</w:t>
      </w:r>
    </w:p>
    <w:p w14:paraId="279DBD84" w14:textId="77777777" w:rsidR="00764E3F" w:rsidRPr="00935B59" w:rsidRDefault="00764E3F" w:rsidP="00764E3F">
      <w:pPr>
        <w:pStyle w:val="Paragraphedeliste"/>
        <w:numPr>
          <w:ilvl w:val="0"/>
          <w:numId w:val="2"/>
        </w:numPr>
        <w:jc w:val="both"/>
        <w:rPr>
          <w:lang w:eastAsia="fr-FR"/>
        </w:rPr>
      </w:pPr>
      <w:proofErr w:type="gramStart"/>
      <w:r w:rsidRPr="00935B59">
        <w:rPr>
          <w:lang w:eastAsia="fr-FR"/>
        </w:rPr>
        <w:t>information</w:t>
      </w:r>
      <w:proofErr w:type="gramEnd"/>
      <w:r w:rsidRPr="00935B59">
        <w:rPr>
          <w:lang w:eastAsia="fr-FR"/>
        </w:rPr>
        <w:t xml:space="preserve"> des salariés et candidats à l’embauche et mise en place de mesures de prévention du harcèlement sexuel dans l’entreprise.</w:t>
      </w:r>
    </w:p>
    <w:p w14:paraId="697C3A28" w14:textId="77777777" w:rsidR="00764E3F" w:rsidRPr="00935B59" w:rsidRDefault="00764E3F" w:rsidP="00764E3F">
      <w:pPr>
        <w:jc w:val="both"/>
        <w:rPr>
          <w:lang w:eastAsia="fr-FR"/>
        </w:rPr>
      </w:pPr>
      <w:r w:rsidRPr="00935B59">
        <w:rPr>
          <w:lang w:eastAsia="fr-FR"/>
        </w:rPr>
        <w:t>Des recours et sanctions civiles et pénales sont prévus en cas de non-respect de l’égalité femmes-hommes.</w:t>
      </w:r>
      <w:r w:rsidRPr="00935B59">
        <w:rPr>
          <w:lang w:eastAsia="fr-FR"/>
        </w:rPr>
        <w:br/>
        <w:t>Les entreprises d’au moins 50 salariés sont également soumises à des pénalités à la charge de l’employeur, qui peuvent être mises en œuvre, soit lorsqu’elles ne sont pas couvertes par un accord ou, à défaut, par un plan d’action relatif à l’égalité professionnelle, soit lorsqu’elles n’auront pas publié leur « Index de l’égalité » ou qu’elles n’auront pas mis en œuvre les mesures permettant de supprimer les écarts de rémunération constatés entre les femmes et les hommes.</w:t>
      </w:r>
    </w:p>
    <w:p w14:paraId="5DCFFC20" w14:textId="77777777" w:rsidR="00764E3F" w:rsidRDefault="00764E3F" w:rsidP="00764E3F">
      <w:pPr>
        <w:spacing w:before="0"/>
      </w:pPr>
    </w:p>
    <w:p w14:paraId="4D2CBC8D" w14:textId="77777777" w:rsidR="00764E3F" w:rsidRPr="00FB11CC" w:rsidRDefault="00764E3F" w:rsidP="00764E3F">
      <w:pPr>
        <w:spacing w:after="120"/>
        <w:rPr>
          <w:b/>
          <w:bCs/>
          <w:sz w:val="24"/>
          <w:szCs w:val="28"/>
        </w:rPr>
      </w:pPr>
      <w:r w:rsidRPr="00FB11CC">
        <w:rPr>
          <w:b/>
          <w:bCs/>
          <w:color w:val="FFFFFF" w:themeColor="background1"/>
          <w:sz w:val="24"/>
          <w:szCs w:val="28"/>
          <w:highlight w:val="red"/>
        </w:rPr>
        <w:t xml:space="preserve">Doc </w:t>
      </w:r>
      <w:proofErr w:type="gramStart"/>
      <w:r>
        <w:rPr>
          <w:b/>
          <w:bCs/>
          <w:color w:val="FFFFFF" w:themeColor="background1"/>
          <w:sz w:val="24"/>
          <w:szCs w:val="28"/>
          <w:highlight w:val="red"/>
        </w:rPr>
        <w:t xml:space="preserve">2 </w:t>
      </w:r>
      <w:r w:rsidRPr="00FB11CC">
        <w:rPr>
          <w:b/>
          <w:bCs/>
          <w:color w:val="FFFFFF" w:themeColor="background1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Répartition</w:t>
      </w:r>
      <w:proofErr w:type="gramEnd"/>
      <w:r>
        <w:rPr>
          <w:b/>
          <w:bCs/>
          <w:sz w:val="24"/>
          <w:szCs w:val="28"/>
        </w:rPr>
        <w:t xml:space="preserve"> de l’effectif</w:t>
      </w:r>
    </w:p>
    <w:p w14:paraId="484A4783" w14:textId="77777777" w:rsidR="00764E3F" w:rsidRDefault="00764E3F" w:rsidP="00764E3F">
      <w:r w:rsidRPr="004215B6">
        <w:rPr>
          <w:noProof/>
        </w:rPr>
        <w:drawing>
          <wp:inline distT="0" distB="0" distL="0" distR="0" wp14:anchorId="1CB74729" wp14:editId="3E31BB0C">
            <wp:extent cx="4411980" cy="908685"/>
            <wp:effectExtent l="0" t="0" r="7620" b="571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641B5" w14:textId="77777777" w:rsidR="00764E3F" w:rsidRDefault="00764E3F" w:rsidP="00764E3F"/>
    <w:p w14:paraId="5933A3C7" w14:textId="77777777" w:rsidR="00764E3F" w:rsidRDefault="00764E3F" w:rsidP="00764E3F"/>
    <w:p w14:paraId="2D1F0021" w14:textId="77777777" w:rsidR="00764E3F" w:rsidRPr="00FB11CC" w:rsidRDefault="00764E3F" w:rsidP="00764E3F">
      <w:pPr>
        <w:rPr>
          <w:b/>
          <w:bCs/>
          <w:sz w:val="24"/>
          <w:szCs w:val="28"/>
        </w:rPr>
      </w:pPr>
      <w:r w:rsidRPr="00FB11CC">
        <w:rPr>
          <w:b/>
          <w:bCs/>
          <w:color w:val="FFFFFF" w:themeColor="background1"/>
          <w:sz w:val="24"/>
          <w:szCs w:val="28"/>
          <w:highlight w:val="red"/>
        </w:rPr>
        <w:t xml:space="preserve">Doc </w:t>
      </w:r>
      <w:proofErr w:type="gramStart"/>
      <w:r>
        <w:rPr>
          <w:b/>
          <w:bCs/>
          <w:color w:val="FFFFFF" w:themeColor="background1"/>
          <w:sz w:val="24"/>
          <w:szCs w:val="28"/>
          <w:highlight w:val="red"/>
        </w:rPr>
        <w:t xml:space="preserve">3 </w:t>
      </w:r>
      <w:r w:rsidRPr="00FB11CC">
        <w:rPr>
          <w:b/>
          <w:bCs/>
          <w:color w:val="FFFFFF" w:themeColor="background1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Statistiques</w:t>
      </w:r>
      <w:proofErr w:type="gramEnd"/>
      <w:r>
        <w:rPr>
          <w:b/>
          <w:bCs/>
          <w:sz w:val="24"/>
          <w:szCs w:val="28"/>
        </w:rPr>
        <w:t xml:space="preserve"> formation</w:t>
      </w:r>
    </w:p>
    <w:p w14:paraId="1954CEFA" w14:textId="77777777" w:rsidR="00764E3F" w:rsidRDefault="00764E3F" w:rsidP="00764E3F">
      <w:r w:rsidRPr="001D756B">
        <w:rPr>
          <w:noProof/>
        </w:rPr>
        <w:drawing>
          <wp:inline distT="0" distB="0" distL="0" distR="0" wp14:anchorId="14E19C52" wp14:editId="2E36AAEA">
            <wp:extent cx="6299835" cy="2432050"/>
            <wp:effectExtent l="0" t="0" r="5715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51041" w14:textId="77777777" w:rsidR="00764E3F" w:rsidRDefault="00764E3F" w:rsidP="00764E3F">
      <w:pPr>
        <w:spacing w:before="0"/>
      </w:pPr>
    </w:p>
    <w:p w14:paraId="229D79BD" w14:textId="77777777" w:rsidR="00764E3F" w:rsidRDefault="00764E3F" w:rsidP="00764E3F">
      <w:pPr>
        <w:spacing w:before="0"/>
      </w:pPr>
    </w:p>
    <w:p w14:paraId="0E53FF43" w14:textId="77777777" w:rsidR="00764E3F" w:rsidRDefault="00764E3F" w:rsidP="00764E3F">
      <w:pPr>
        <w:spacing w:before="0"/>
      </w:pPr>
    </w:p>
    <w:p w14:paraId="47745846" w14:textId="77777777" w:rsidR="00764E3F" w:rsidRDefault="00764E3F" w:rsidP="00764E3F">
      <w:pPr>
        <w:spacing w:before="0"/>
      </w:pPr>
    </w:p>
    <w:p w14:paraId="7FA81905" w14:textId="77777777" w:rsidR="001B014B" w:rsidRPr="00764E3F" w:rsidRDefault="001B014B" w:rsidP="00764E3F"/>
    <w:sectPr w:rsidR="001B014B" w:rsidRPr="00764E3F" w:rsidSect="008C0B1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F590C"/>
    <w:multiLevelType w:val="hybridMultilevel"/>
    <w:tmpl w:val="FA6A4BF6"/>
    <w:lvl w:ilvl="0" w:tplc="777AEF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4009E6"/>
    <w:multiLevelType w:val="hybridMultilevel"/>
    <w:tmpl w:val="B5CA938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8E10AF"/>
    <w:multiLevelType w:val="hybridMultilevel"/>
    <w:tmpl w:val="9A788956"/>
    <w:lvl w:ilvl="0" w:tplc="777AEF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1264422">
    <w:abstractNumId w:val="1"/>
  </w:num>
  <w:num w:numId="2" w16cid:durableId="1920555646">
    <w:abstractNumId w:val="2"/>
  </w:num>
  <w:num w:numId="3" w16cid:durableId="194460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1D"/>
    <w:rsid w:val="001B014B"/>
    <w:rsid w:val="002E0144"/>
    <w:rsid w:val="004A5EAB"/>
    <w:rsid w:val="0054147B"/>
    <w:rsid w:val="00744B11"/>
    <w:rsid w:val="00764E3F"/>
    <w:rsid w:val="008C0B1D"/>
    <w:rsid w:val="00D017C5"/>
    <w:rsid w:val="00EE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30C5"/>
  <w15:chartTrackingRefBased/>
  <w15:docId w15:val="{C043559C-537A-45EB-A921-62049EA0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B1D"/>
    <w:pPr>
      <w:spacing w:before="120"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764E3F"/>
    <w:pPr>
      <w:spacing w:before="240" w:after="120"/>
      <w:outlineLvl w:val="1"/>
    </w:pPr>
    <w:rPr>
      <w:rFonts w:eastAsia="Times New Roman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0B1D"/>
    <w:pPr>
      <w:ind w:left="720"/>
      <w:contextualSpacing/>
    </w:pPr>
  </w:style>
  <w:style w:type="table" w:styleId="Grilledutableau">
    <w:name w:val="Table Grid"/>
    <w:basedOn w:val="TableauNormal"/>
    <w:uiPriority w:val="59"/>
    <w:rsid w:val="008C0B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2Car">
    <w:name w:val="Titre 2 Car"/>
    <w:basedOn w:val="Policepardfaut"/>
    <w:link w:val="Titre2"/>
    <w:uiPriority w:val="9"/>
    <w:rsid w:val="00764E3F"/>
    <w:rPr>
      <w:rFonts w:ascii="Arial" w:eastAsia="Times New Roman" w:hAnsi="Arial" w:cs="Arial"/>
      <w:b/>
      <w:color w:val="000000"/>
      <w:sz w:val="24"/>
      <w:szCs w:val="20"/>
      <w:lang w:eastAsia="fr-FR"/>
    </w:rPr>
  </w:style>
  <w:style w:type="character" w:styleId="Lienhypertexte">
    <w:name w:val="Hyperlink"/>
    <w:basedOn w:val="Policepardfaut"/>
    <w:unhideWhenUsed/>
    <w:rsid w:val="00764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travail-emploi.gouv.fr/droit-du-travail/egalite-professionnelle-discrimination-et-harcelement/article/l-egalite-professionnelle-femme-homme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2020-09-09T20:15:00Z</dcterms:created>
  <dcterms:modified xsi:type="dcterms:W3CDTF">2024-12-12T09:08:00Z</dcterms:modified>
</cp:coreProperties>
</file>