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3" w:type="dxa"/>
        <w:tblInd w:w="108" w:type="dxa"/>
        <w:shd w:val="clear" w:color="auto" w:fill="92D050"/>
        <w:tblLook w:val="04A0" w:firstRow="1" w:lastRow="0" w:firstColumn="1" w:lastColumn="0" w:noHBand="0" w:noVBand="1"/>
      </w:tblPr>
      <w:tblGrid>
        <w:gridCol w:w="1754"/>
        <w:gridCol w:w="5901"/>
        <w:gridCol w:w="12"/>
        <w:gridCol w:w="2256"/>
      </w:tblGrid>
      <w:tr w:rsidR="00622589" w14:paraId="31B07CA8" w14:textId="77777777" w:rsidTr="005A3602">
        <w:tc>
          <w:tcPr>
            <w:tcW w:w="7895" w:type="dxa"/>
            <w:gridSpan w:val="2"/>
            <w:shd w:val="clear" w:color="auto" w:fill="92D050"/>
            <w:vAlign w:val="center"/>
          </w:tcPr>
          <w:p w14:paraId="15DF3D80" w14:textId="77777777" w:rsidR="00622589" w:rsidRPr="00772748" w:rsidRDefault="00622589" w:rsidP="005A3602">
            <w:pPr>
              <w:spacing w:after="120"/>
              <w:jc w:val="center"/>
              <w:rPr>
                <w:b/>
                <w:bCs/>
              </w:rPr>
            </w:pPr>
            <w:bookmarkStart w:id="0" w:name="_Hlk50571982"/>
            <w:bookmarkStart w:id="1" w:name="_Hlk64031111"/>
            <w:r w:rsidRPr="00772748">
              <w:rPr>
                <w:b/>
                <w:bCs/>
                <w:sz w:val="28"/>
                <w:szCs w:val="28"/>
              </w:rPr>
              <w:t xml:space="preserve">Mission </w:t>
            </w:r>
            <w:r>
              <w:rPr>
                <w:b/>
                <w:bCs/>
                <w:sz w:val="28"/>
                <w:szCs w:val="28"/>
              </w:rPr>
              <w:t>1</w:t>
            </w:r>
            <w:r w:rsidRPr="00772748">
              <w:rPr>
                <w:b/>
                <w:bCs/>
                <w:sz w:val="28"/>
                <w:szCs w:val="28"/>
              </w:rPr>
              <w:t xml:space="preserve"> </w:t>
            </w:r>
            <w:r>
              <w:rPr>
                <w:b/>
                <w:bCs/>
                <w:sz w:val="28"/>
                <w:szCs w:val="28"/>
              </w:rPr>
              <w:t>–</w:t>
            </w:r>
            <w:r w:rsidRPr="00772748">
              <w:rPr>
                <w:b/>
                <w:bCs/>
                <w:sz w:val="28"/>
                <w:szCs w:val="28"/>
              </w:rPr>
              <w:t xml:space="preserve"> </w:t>
            </w:r>
            <w:r>
              <w:rPr>
                <w:b/>
                <w:bCs/>
                <w:sz w:val="28"/>
                <w:szCs w:val="32"/>
              </w:rPr>
              <w:t>Analyser des données sociales</w:t>
            </w:r>
            <w:r w:rsidRPr="003B4A06">
              <w:rPr>
                <w:b/>
                <w:bCs/>
                <w:sz w:val="28"/>
                <w:szCs w:val="32"/>
              </w:rPr>
              <w:t xml:space="preserve"> </w:t>
            </w:r>
          </w:p>
        </w:tc>
        <w:tc>
          <w:tcPr>
            <w:tcW w:w="2028" w:type="dxa"/>
            <w:gridSpan w:val="2"/>
            <w:shd w:val="clear" w:color="auto" w:fill="92D050"/>
          </w:tcPr>
          <w:p w14:paraId="304712FF" w14:textId="77777777" w:rsidR="00622589" w:rsidRDefault="00622589" w:rsidP="005A3602">
            <w:pPr>
              <w:rPr>
                <w:b/>
              </w:rPr>
            </w:pPr>
            <w:r>
              <w:rPr>
                <w:noProof/>
              </w:rPr>
              <w:drawing>
                <wp:inline distT="0" distB="0" distL="0" distR="0" wp14:anchorId="045D115D" wp14:editId="016FCDDE">
                  <wp:extent cx="1303020" cy="486410"/>
                  <wp:effectExtent l="0" t="0" r="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622589" w:rsidRPr="00772748" w14:paraId="6DDAAD96" w14:textId="77777777" w:rsidTr="005A3602">
        <w:tc>
          <w:tcPr>
            <w:tcW w:w="1781" w:type="dxa"/>
            <w:shd w:val="clear" w:color="auto" w:fill="92D050"/>
            <w:vAlign w:val="center"/>
          </w:tcPr>
          <w:p w14:paraId="5AAAFF76" w14:textId="77777777" w:rsidR="00622589" w:rsidRPr="00772748" w:rsidRDefault="00622589" w:rsidP="005A3602">
            <w:pPr>
              <w:spacing w:before="0"/>
              <w:jc w:val="center"/>
              <w:rPr>
                <w:bCs/>
              </w:rPr>
            </w:pPr>
            <w:r w:rsidRPr="00772748">
              <w:rPr>
                <w:b/>
              </w:rPr>
              <w:t>Durée</w:t>
            </w:r>
            <w:r w:rsidRPr="00772748">
              <w:rPr>
                <w:bCs/>
              </w:rPr>
              <w:t xml:space="preserve"> : </w:t>
            </w:r>
            <w:r>
              <w:rPr>
                <w:bCs/>
              </w:rPr>
              <w:t>1 h 20</w:t>
            </w:r>
            <w:r w:rsidRPr="00772748">
              <w:rPr>
                <w:bCs/>
              </w:rPr>
              <w:t>’</w:t>
            </w:r>
          </w:p>
        </w:tc>
        <w:tc>
          <w:tcPr>
            <w:tcW w:w="6124" w:type="dxa"/>
            <w:gridSpan w:val="2"/>
            <w:shd w:val="clear" w:color="auto" w:fill="92D050"/>
            <w:vAlign w:val="center"/>
          </w:tcPr>
          <w:p w14:paraId="6D17482D" w14:textId="2813755D" w:rsidR="00622589" w:rsidRPr="00772748" w:rsidRDefault="00DD509C" w:rsidP="005A3602">
            <w:pPr>
              <w:spacing w:before="0"/>
              <w:jc w:val="center"/>
              <w:rPr>
                <w:bCs/>
              </w:rPr>
            </w:pPr>
            <w:r>
              <w:rPr>
                <w:noProof/>
              </w:rPr>
              <w:drawing>
                <wp:inline distT="0" distB="0" distL="0" distR="0" wp14:anchorId="0D8A49CE" wp14:editId="0D3E0F39">
                  <wp:extent cx="324000" cy="324000"/>
                  <wp:effectExtent l="0" t="0" r="0" b="0"/>
                  <wp:docPr id="147167532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322" name="Graphique 147167532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0DAB7B4" wp14:editId="01C63E80">
                  <wp:extent cx="360000" cy="360000"/>
                  <wp:effectExtent l="0" t="0" r="0" b="2540"/>
                  <wp:docPr id="154624016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0162" name="Graphique 154624016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18" w:type="dxa"/>
            <w:shd w:val="clear" w:color="auto" w:fill="92D050"/>
            <w:vAlign w:val="center"/>
          </w:tcPr>
          <w:p w14:paraId="3138DF48" w14:textId="77777777" w:rsidR="00622589" w:rsidRPr="00772748" w:rsidRDefault="00622589" w:rsidP="005A3602">
            <w:pPr>
              <w:spacing w:before="0"/>
              <w:jc w:val="center"/>
              <w:rPr>
                <w:bCs/>
              </w:rPr>
            </w:pPr>
            <w:r>
              <w:rPr>
                <w:bCs/>
              </w:rPr>
              <w:t>Source | Excel</w:t>
            </w:r>
          </w:p>
        </w:tc>
      </w:tr>
    </w:tbl>
    <w:p w14:paraId="79424AED" w14:textId="77777777" w:rsidR="00622589" w:rsidRDefault="00622589" w:rsidP="00622589">
      <w:pPr>
        <w:spacing w:before="240" w:after="120"/>
        <w:rPr>
          <w:rFonts w:cs="Calibri"/>
          <w:b/>
          <w:bCs/>
          <w:sz w:val="24"/>
        </w:rPr>
      </w:pPr>
      <w:r w:rsidRPr="001F7F7C">
        <w:rPr>
          <w:rFonts w:cs="Calibri"/>
          <w:b/>
          <w:bCs/>
          <w:sz w:val="24"/>
        </w:rPr>
        <w:t xml:space="preserve">Contexte professionnel </w:t>
      </w:r>
    </w:p>
    <w:p w14:paraId="7F41549D" w14:textId="77777777" w:rsidR="00622589" w:rsidRDefault="00622589" w:rsidP="00622589">
      <w:pPr>
        <w:jc w:val="both"/>
        <w:rPr>
          <w:szCs w:val="20"/>
        </w:rPr>
      </w:pPr>
      <w:r w:rsidRPr="00713271">
        <w:rPr>
          <w:szCs w:val="20"/>
        </w:rPr>
        <w:t xml:space="preserve">La société Signaux Girault conçoit des systèmes de signalisation lumineux reposant sur l’intégration des technologies LED dans des panneaux lumineux. </w:t>
      </w:r>
    </w:p>
    <w:p w14:paraId="0858083E" w14:textId="30FADFB6" w:rsidR="00622589" w:rsidRPr="00713271" w:rsidRDefault="00622589" w:rsidP="00622589">
      <w:pPr>
        <w:jc w:val="both"/>
        <w:rPr>
          <w:szCs w:val="20"/>
        </w:rPr>
      </w:pPr>
      <w:r w:rsidRPr="0043110B">
        <w:rPr>
          <w:szCs w:val="20"/>
        </w:rPr>
        <w:t>L'entreprise e</w:t>
      </w:r>
      <w:r w:rsidR="00C35D38">
        <w:rPr>
          <w:szCs w:val="20"/>
        </w:rPr>
        <w:t>s</w:t>
      </w:r>
      <w:r w:rsidRPr="0043110B">
        <w:rPr>
          <w:szCs w:val="20"/>
        </w:rPr>
        <w:t>t organisé</w:t>
      </w:r>
      <w:r w:rsidR="00C35D38">
        <w:rPr>
          <w:szCs w:val="20"/>
        </w:rPr>
        <w:t>e</w:t>
      </w:r>
      <w:r w:rsidRPr="0043110B">
        <w:rPr>
          <w:szCs w:val="20"/>
        </w:rPr>
        <w:t xml:space="preserve"> en 3 divisions</w:t>
      </w:r>
      <w:r w:rsidRPr="00713271">
        <w:rPr>
          <w:szCs w:val="20"/>
        </w:rPr>
        <w:t>.</w:t>
      </w:r>
    </w:p>
    <w:p w14:paraId="3440FA15" w14:textId="23650416" w:rsidR="00622589" w:rsidRPr="00713271" w:rsidRDefault="00622589" w:rsidP="00622589">
      <w:pPr>
        <w:pStyle w:val="Paragraphedeliste"/>
        <w:numPr>
          <w:ilvl w:val="0"/>
          <w:numId w:val="3"/>
        </w:numPr>
        <w:spacing w:before="0" w:after="120"/>
        <w:ind w:left="284" w:hanging="284"/>
        <w:jc w:val="both"/>
        <w:rPr>
          <w:szCs w:val="20"/>
        </w:rPr>
      </w:pPr>
      <w:r w:rsidRPr="0043110B">
        <w:rPr>
          <w:b/>
          <w:bCs/>
          <w:szCs w:val="20"/>
        </w:rPr>
        <w:t>Division</w:t>
      </w:r>
      <w:r w:rsidRPr="00713271">
        <w:rPr>
          <w:b/>
          <w:szCs w:val="20"/>
        </w:rPr>
        <w:t xml:space="preserve"> enseigne</w:t>
      </w:r>
      <w:r>
        <w:rPr>
          <w:b/>
          <w:szCs w:val="20"/>
        </w:rPr>
        <w:t> :</w:t>
      </w:r>
      <w:r w:rsidRPr="0043110B">
        <w:rPr>
          <w:szCs w:val="20"/>
        </w:rPr>
        <w:t xml:space="preserve"> </w:t>
      </w:r>
      <w:r w:rsidRPr="00713271">
        <w:rPr>
          <w:szCs w:val="20"/>
        </w:rPr>
        <w:t>enseignes lumineuses publicitaire</w:t>
      </w:r>
      <w:r>
        <w:rPr>
          <w:szCs w:val="20"/>
        </w:rPr>
        <w:t>s.</w:t>
      </w:r>
      <w:r w:rsidRPr="00713271">
        <w:rPr>
          <w:szCs w:val="20"/>
        </w:rPr>
        <w:t> </w:t>
      </w:r>
    </w:p>
    <w:p w14:paraId="3BC6BD03" w14:textId="77777777" w:rsidR="00622589" w:rsidRPr="00713271" w:rsidRDefault="00622589" w:rsidP="00622589">
      <w:pPr>
        <w:pStyle w:val="Paragraphedeliste"/>
        <w:numPr>
          <w:ilvl w:val="0"/>
          <w:numId w:val="3"/>
        </w:numPr>
        <w:spacing w:before="0" w:after="120"/>
        <w:ind w:left="284" w:hanging="284"/>
        <w:jc w:val="both"/>
        <w:rPr>
          <w:b/>
          <w:szCs w:val="20"/>
        </w:rPr>
      </w:pPr>
      <w:r w:rsidRPr="00713271">
        <w:rPr>
          <w:b/>
          <w:szCs w:val="20"/>
        </w:rPr>
        <w:t xml:space="preserve">Division </w:t>
      </w:r>
      <w:r>
        <w:rPr>
          <w:b/>
          <w:szCs w:val="20"/>
        </w:rPr>
        <w:t>s</w:t>
      </w:r>
      <w:r w:rsidRPr="00713271">
        <w:rPr>
          <w:b/>
          <w:szCs w:val="20"/>
        </w:rPr>
        <w:t>ignalisation</w:t>
      </w:r>
      <w:r>
        <w:rPr>
          <w:b/>
          <w:szCs w:val="20"/>
        </w:rPr>
        <w:t> :</w:t>
      </w:r>
      <w:r w:rsidRPr="0043110B">
        <w:rPr>
          <w:szCs w:val="20"/>
        </w:rPr>
        <w:t xml:space="preserve"> </w:t>
      </w:r>
      <w:r w:rsidRPr="00713271">
        <w:rPr>
          <w:szCs w:val="20"/>
        </w:rPr>
        <w:t>panneaux routiers</w:t>
      </w:r>
      <w:r>
        <w:rPr>
          <w:szCs w:val="20"/>
        </w:rPr>
        <w:t>.</w:t>
      </w:r>
    </w:p>
    <w:p w14:paraId="524DFD92" w14:textId="77777777" w:rsidR="00622589" w:rsidRPr="00713271" w:rsidRDefault="00622589" w:rsidP="00622589">
      <w:pPr>
        <w:pStyle w:val="Paragraphedeliste"/>
        <w:numPr>
          <w:ilvl w:val="0"/>
          <w:numId w:val="3"/>
        </w:numPr>
        <w:spacing w:before="0" w:after="120"/>
        <w:ind w:left="284" w:hanging="284"/>
        <w:jc w:val="both"/>
        <w:rPr>
          <w:b/>
          <w:szCs w:val="20"/>
        </w:rPr>
      </w:pPr>
      <w:r w:rsidRPr="00713271">
        <w:rPr>
          <w:b/>
          <w:szCs w:val="20"/>
        </w:rPr>
        <w:t>Division sécurité</w:t>
      </w:r>
      <w:r>
        <w:rPr>
          <w:b/>
          <w:szCs w:val="20"/>
        </w:rPr>
        <w:t> :</w:t>
      </w:r>
      <w:r w:rsidRPr="0043110B">
        <w:rPr>
          <w:szCs w:val="20"/>
        </w:rPr>
        <w:t xml:space="preserve"> </w:t>
      </w:r>
      <w:r w:rsidRPr="00713271">
        <w:rPr>
          <w:szCs w:val="20"/>
        </w:rPr>
        <w:t>signalisations de sécurité</w:t>
      </w:r>
      <w:r>
        <w:rPr>
          <w:szCs w:val="20"/>
        </w:rPr>
        <w:t>.</w:t>
      </w:r>
      <w:r w:rsidRPr="00713271">
        <w:rPr>
          <w:szCs w:val="20"/>
        </w:rPr>
        <w:t> </w:t>
      </w:r>
    </w:p>
    <w:p w14:paraId="59F993B8" w14:textId="77777777" w:rsidR="00C35D38" w:rsidRDefault="00622589" w:rsidP="00622589">
      <w:pPr>
        <w:spacing w:after="120"/>
        <w:jc w:val="both"/>
        <w:rPr>
          <w:rFonts w:cs="Arial"/>
        </w:rPr>
      </w:pPr>
      <w:r>
        <w:rPr>
          <w:rFonts w:cs="Arial"/>
        </w:rPr>
        <w:t xml:space="preserve">La société possède 4 filiales </w:t>
      </w:r>
      <w:r w:rsidR="00C35D38">
        <w:rPr>
          <w:rFonts w:cs="Arial"/>
        </w:rPr>
        <w:t>situées</w:t>
      </w:r>
      <w:r>
        <w:rPr>
          <w:rFonts w:cs="Arial"/>
        </w:rPr>
        <w:t xml:space="preserve"> à Lyon, Paris, Marseille et Strasbourg. </w:t>
      </w:r>
    </w:p>
    <w:p w14:paraId="1505AFF2" w14:textId="5CA5A6B7" w:rsidR="00622589" w:rsidRDefault="00622589" w:rsidP="00622589">
      <w:pPr>
        <w:spacing w:after="120"/>
        <w:jc w:val="both"/>
        <w:rPr>
          <w:rFonts w:cs="Arial"/>
        </w:rPr>
      </w:pPr>
      <w:r>
        <w:rPr>
          <w:rFonts w:cs="Arial"/>
        </w:rPr>
        <w:t>M. Girault vous remet les données statistiques extraites du tableau de bord social de l’entreprise (fichier Excel à télécharger).</w:t>
      </w:r>
    </w:p>
    <w:p w14:paraId="163B8B97" w14:textId="77777777" w:rsidR="00622589" w:rsidRDefault="00622589" w:rsidP="00622589">
      <w:pPr>
        <w:jc w:val="both"/>
        <w:rPr>
          <w:rFonts w:cs="Arial"/>
        </w:rPr>
      </w:pPr>
      <w:r>
        <w:rPr>
          <w:rFonts w:cs="Arial"/>
        </w:rPr>
        <w:t>Ces données concernent :</w:t>
      </w:r>
    </w:p>
    <w:p w14:paraId="0566EDEF" w14:textId="77777777" w:rsidR="00622589" w:rsidRDefault="00622589" w:rsidP="00622589">
      <w:pPr>
        <w:pStyle w:val="Paragraphedeliste"/>
        <w:numPr>
          <w:ilvl w:val="0"/>
          <w:numId w:val="5"/>
        </w:numPr>
        <w:spacing w:before="0" w:after="120"/>
        <w:ind w:left="284" w:hanging="284"/>
        <w:jc w:val="both"/>
        <w:rPr>
          <w:rFonts w:cs="Arial"/>
        </w:rPr>
      </w:pPr>
      <w:r w:rsidRPr="00DF3C0D">
        <w:rPr>
          <w:rFonts w:cs="Arial"/>
        </w:rPr>
        <w:t>Les données salariales des 4 filiales</w:t>
      </w:r>
      <w:r>
        <w:rPr>
          <w:rFonts w:cs="Arial"/>
        </w:rPr>
        <w:t> ;</w:t>
      </w:r>
    </w:p>
    <w:p w14:paraId="58C2A7A4" w14:textId="77777777" w:rsidR="00622589" w:rsidRPr="00DF3C0D" w:rsidRDefault="00622589" w:rsidP="00622589">
      <w:pPr>
        <w:spacing w:before="0" w:after="120"/>
        <w:jc w:val="center"/>
        <w:rPr>
          <w:rFonts w:cs="Arial"/>
        </w:rPr>
      </w:pPr>
      <w:r w:rsidRPr="00DF3C0D">
        <w:rPr>
          <w:noProof/>
        </w:rPr>
        <w:drawing>
          <wp:inline distT="0" distB="0" distL="0" distR="0" wp14:anchorId="19BFA9E3" wp14:editId="68E52AE0">
            <wp:extent cx="4560570" cy="12058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0570" cy="1205865"/>
                    </a:xfrm>
                    <a:prstGeom prst="rect">
                      <a:avLst/>
                    </a:prstGeom>
                    <a:noFill/>
                    <a:ln>
                      <a:noFill/>
                    </a:ln>
                  </pic:spPr>
                </pic:pic>
              </a:graphicData>
            </a:graphic>
          </wp:inline>
        </w:drawing>
      </w:r>
    </w:p>
    <w:p w14:paraId="3EA612CC" w14:textId="77777777" w:rsidR="00622589" w:rsidRDefault="00622589" w:rsidP="00622589">
      <w:pPr>
        <w:pStyle w:val="Paragraphedeliste"/>
        <w:numPr>
          <w:ilvl w:val="0"/>
          <w:numId w:val="5"/>
        </w:numPr>
        <w:spacing w:after="120"/>
        <w:ind w:left="284" w:hanging="284"/>
        <w:jc w:val="both"/>
        <w:rPr>
          <w:rFonts w:cs="Arial"/>
        </w:rPr>
      </w:pPr>
      <w:r w:rsidRPr="00DF3C0D">
        <w:rPr>
          <w:rFonts w:cs="Arial"/>
        </w:rPr>
        <w:t xml:space="preserve">Les données concernant </w:t>
      </w:r>
      <w:r>
        <w:rPr>
          <w:rFonts w:cs="Arial"/>
        </w:rPr>
        <w:t xml:space="preserve">la santé et la sécurité </w:t>
      </w:r>
      <w:r w:rsidRPr="00DF3C0D">
        <w:rPr>
          <w:rFonts w:cs="Arial"/>
        </w:rPr>
        <w:t>des 4 filiales</w:t>
      </w:r>
      <w:r>
        <w:rPr>
          <w:rFonts w:cs="Arial"/>
        </w:rPr>
        <w:t>.</w:t>
      </w:r>
    </w:p>
    <w:p w14:paraId="042BFC3F" w14:textId="77777777" w:rsidR="00622589" w:rsidRPr="00DF3C0D" w:rsidRDefault="00622589" w:rsidP="00622589">
      <w:pPr>
        <w:spacing w:after="120"/>
        <w:jc w:val="center"/>
        <w:rPr>
          <w:rFonts w:cs="Arial"/>
        </w:rPr>
      </w:pPr>
      <w:r w:rsidRPr="00DF3C0D">
        <w:rPr>
          <w:noProof/>
        </w:rPr>
        <w:drawing>
          <wp:inline distT="0" distB="0" distL="0" distR="0" wp14:anchorId="3AAAC32B" wp14:editId="440E22C3">
            <wp:extent cx="3881755" cy="1351915"/>
            <wp:effectExtent l="0" t="0" r="444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755" cy="1351915"/>
                    </a:xfrm>
                    <a:prstGeom prst="rect">
                      <a:avLst/>
                    </a:prstGeom>
                    <a:noFill/>
                    <a:ln>
                      <a:noFill/>
                    </a:ln>
                  </pic:spPr>
                </pic:pic>
              </a:graphicData>
            </a:graphic>
          </wp:inline>
        </w:drawing>
      </w:r>
    </w:p>
    <w:p w14:paraId="2678B216" w14:textId="77777777" w:rsidR="00622589" w:rsidRDefault="00622589" w:rsidP="00622589">
      <w:pPr>
        <w:spacing w:after="120"/>
        <w:jc w:val="both"/>
        <w:rPr>
          <w:b/>
        </w:rPr>
      </w:pPr>
      <w:r>
        <w:rPr>
          <w:rFonts w:cs="Arial"/>
        </w:rPr>
        <w:t>M. Girault vous demande de demande d’analyser les données sociales de ces filiales.</w:t>
      </w:r>
    </w:p>
    <w:p w14:paraId="7F54CE7B" w14:textId="77777777" w:rsidR="00622589" w:rsidRDefault="00622589" w:rsidP="00622589">
      <w:pPr>
        <w:spacing w:before="240" w:after="120"/>
        <w:rPr>
          <w:rFonts w:cs="Calibri"/>
          <w:b/>
          <w:bCs/>
          <w:sz w:val="24"/>
        </w:rPr>
      </w:pPr>
      <w:r w:rsidRPr="0043110B">
        <w:rPr>
          <w:rFonts w:cs="Calibri"/>
          <w:b/>
          <w:bCs/>
          <w:sz w:val="24"/>
        </w:rPr>
        <w:t>Travail à faire</w:t>
      </w:r>
    </w:p>
    <w:p w14:paraId="73823260" w14:textId="77777777" w:rsidR="00622589" w:rsidRPr="00A742AC" w:rsidRDefault="00622589" w:rsidP="00622589">
      <w:pPr>
        <w:spacing w:before="240"/>
        <w:rPr>
          <w:rFonts w:cs="Calibri"/>
          <w:b/>
          <w:bCs/>
          <w:szCs w:val="18"/>
        </w:rPr>
      </w:pPr>
      <w:r w:rsidRPr="00A742AC">
        <w:rPr>
          <w:rFonts w:cs="Calibri"/>
          <w:b/>
          <w:bCs/>
          <w:szCs w:val="18"/>
        </w:rPr>
        <w:t>Données salariales</w:t>
      </w:r>
      <w:r w:rsidRPr="00A742AC">
        <w:rPr>
          <w:rFonts w:cs="Calibri"/>
          <w:b/>
          <w:bCs/>
          <w:szCs w:val="18"/>
        </w:rPr>
        <w:tab/>
      </w:r>
    </w:p>
    <w:p w14:paraId="64D38A14" w14:textId="77777777" w:rsidR="00622589" w:rsidRDefault="00622589" w:rsidP="00622589">
      <w:pPr>
        <w:pStyle w:val="Paragraphedeliste"/>
        <w:numPr>
          <w:ilvl w:val="0"/>
          <w:numId w:val="2"/>
        </w:numPr>
        <w:spacing w:before="0"/>
        <w:jc w:val="both"/>
        <w:rPr>
          <w:bCs/>
        </w:rPr>
      </w:pPr>
      <w:r>
        <w:rPr>
          <w:bCs/>
        </w:rPr>
        <w:t>Calculez le salaire moyen par filiale.</w:t>
      </w:r>
    </w:p>
    <w:p w14:paraId="22650F30" w14:textId="0F49B467" w:rsidR="00622589" w:rsidRDefault="00622589" w:rsidP="00622589">
      <w:pPr>
        <w:pStyle w:val="Paragraphedeliste"/>
        <w:numPr>
          <w:ilvl w:val="0"/>
          <w:numId w:val="2"/>
        </w:numPr>
        <w:jc w:val="both"/>
        <w:rPr>
          <w:bCs/>
        </w:rPr>
      </w:pPr>
      <w:r>
        <w:rPr>
          <w:bCs/>
        </w:rPr>
        <w:t>Calculez le pourcentage de la masse salariale qui est payé</w:t>
      </w:r>
      <w:r w:rsidR="00C35D38">
        <w:rPr>
          <w:bCs/>
        </w:rPr>
        <w:t>s</w:t>
      </w:r>
      <w:r>
        <w:rPr>
          <w:bCs/>
        </w:rPr>
        <w:t xml:space="preserve"> en salaire de base, en prime et en heures supplémentaires.</w:t>
      </w:r>
    </w:p>
    <w:p w14:paraId="1A0469D3" w14:textId="77777777" w:rsidR="00622589" w:rsidRDefault="00622589" w:rsidP="00622589">
      <w:pPr>
        <w:pStyle w:val="Paragraphedeliste"/>
        <w:numPr>
          <w:ilvl w:val="0"/>
          <w:numId w:val="2"/>
        </w:numPr>
        <w:jc w:val="both"/>
        <w:rPr>
          <w:bCs/>
        </w:rPr>
      </w:pPr>
      <w:r>
        <w:rPr>
          <w:bCs/>
        </w:rPr>
        <w:t>Calculez le taux d’accident du travail par filiale.</w:t>
      </w:r>
    </w:p>
    <w:p w14:paraId="365C7EC6" w14:textId="59BCBF46" w:rsidR="00622589" w:rsidRDefault="00622589" w:rsidP="00622589">
      <w:pPr>
        <w:pStyle w:val="Paragraphedeliste"/>
        <w:numPr>
          <w:ilvl w:val="0"/>
          <w:numId w:val="2"/>
        </w:numPr>
        <w:jc w:val="both"/>
        <w:rPr>
          <w:bCs/>
        </w:rPr>
      </w:pPr>
      <w:r>
        <w:rPr>
          <w:bCs/>
        </w:rPr>
        <w:t>Calculez le nombre d’arrêt</w:t>
      </w:r>
      <w:r w:rsidR="00C35D38">
        <w:rPr>
          <w:bCs/>
        </w:rPr>
        <w:t>s</w:t>
      </w:r>
      <w:r>
        <w:rPr>
          <w:bCs/>
        </w:rPr>
        <w:t xml:space="preserve"> maladie moyen</w:t>
      </w:r>
      <w:r w:rsidR="00C35D38">
        <w:rPr>
          <w:bCs/>
        </w:rPr>
        <w:t>s</w:t>
      </w:r>
      <w:r>
        <w:rPr>
          <w:bCs/>
        </w:rPr>
        <w:t xml:space="preserve"> par salarié.</w:t>
      </w:r>
    </w:p>
    <w:p w14:paraId="15783179" w14:textId="77777777" w:rsidR="00622589" w:rsidRPr="0043110B" w:rsidRDefault="00622589" w:rsidP="00622589">
      <w:pPr>
        <w:pStyle w:val="Paragraphedeliste"/>
        <w:numPr>
          <w:ilvl w:val="0"/>
          <w:numId w:val="2"/>
        </w:numPr>
        <w:jc w:val="both"/>
        <w:rPr>
          <w:bCs/>
        </w:rPr>
      </w:pPr>
      <w:r>
        <w:rPr>
          <w:bCs/>
        </w:rPr>
        <w:t>Analysez ces données dans une note structurée.</w:t>
      </w:r>
    </w:p>
    <w:p w14:paraId="3F0EA3A2" w14:textId="77777777" w:rsidR="00622589" w:rsidRPr="00A742AC" w:rsidRDefault="00622589" w:rsidP="00622589">
      <w:pPr>
        <w:spacing w:before="240"/>
        <w:rPr>
          <w:rFonts w:cs="Calibri"/>
          <w:b/>
          <w:bCs/>
          <w:szCs w:val="18"/>
        </w:rPr>
      </w:pPr>
      <w:r w:rsidRPr="00A742AC">
        <w:rPr>
          <w:rFonts w:cs="Calibri"/>
          <w:b/>
          <w:bCs/>
          <w:szCs w:val="18"/>
        </w:rPr>
        <w:t>Données santé et sécurité</w:t>
      </w:r>
      <w:r w:rsidRPr="00A742AC">
        <w:rPr>
          <w:rFonts w:cs="Calibri"/>
          <w:b/>
          <w:bCs/>
          <w:szCs w:val="18"/>
        </w:rPr>
        <w:tab/>
      </w:r>
    </w:p>
    <w:p w14:paraId="2FA84BEE" w14:textId="1C149CC4" w:rsidR="00622589" w:rsidRDefault="00622589" w:rsidP="00622589">
      <w:pPr>
        <w:pStyle w:val="Paragraphedeliste"/>
        <w:numPr>
          <w:ilvl w:val="0"/>
          <w:numId w:val="2"/>
        </w:numPr>
        <w:spacing w:before="0"/>
        <w:jc w:val="both"/>
        <w:rPr>
          <w:bCs/>
        </w:rPr>
      </w:pPr>
      <w:r w:rsidRPr="00DF3C0D">
        <w:rPr>
          <w:bCs/>
        </w:rPr>
        <w:t>Calculez le no</w:t>
      </w:r>
      <w:r>
        <w:rPr>
          <w:bCs/>
        </w:rPr>
        <w:t>m</w:t>
      </w:r>
      <w:r w:rsidRPr="00DF3C0D">
        <w:rPr>
          <w:bCs/>
        </w:rPr>
        <w:t>bre de jours d’arrêt</w:t>
      </w:r>
      <w:r>
        <w:rPr>
          <w:bCs/>
        </w:rPr>
        <w:t>s</w:t>
      </w:r>
      <w:r w:rsidRPr="00DF3C0D">
        <w:rPr>
          <w:bCs/>
        </w:rPr>
        <w:t xml:space="preserve"> par salarié et par filiale</w:t>
      </w:r>
      <w:r w:rsidR="00AC74CE">
        <w:rPr>
          <w:bCs/>
        </w:rPr>
        <w:t>.</w:t>
      </w:r>
    </w:p>
    <w:p w14:paraId="6675A746" w14:textId="77777777" w:rsidR="00622589" w:rsidRDefault="00622589" w:rsidP="00622589">
      <w:pPr>
        <w:pStyle w:val="Paragraphedeliste"/>
        <w:numPr>
          <w:ilvl w:val="0"/>
          <w:numId w:val="2"/>
        </w:numPr>
        <w:jc w:val="both"/>
        <w:rPr>
          <w:bCs/>
        </w:rPr>
      </w:pPr>
      <w:r>
        <w:rPr>
          <w:bCs/>
        </w:rPr>
        <w:t>Calculez le taux d’insertion des travailleurs handicapé dans chaque filiale.</w:t>
      </w:r>
    </w:p>
    <w:p w14:paraId="4A9F2303" w14:textId="57748E49" w:rsidR="00622589" w:rsidRPr="005C2BBF" w:rsidRDefault="00622589" w:rsidP="00622589">
      <w:pPr>
        <w:pStyle w:val="Paragraphedeliste"/>
        <w:numPr>
          <w:ilvl w:val="0"/>
          <w:numId w:val="2"/>
        </w:numPr>
        <w:jc w:val="both"/>
        <w:rPr>
          <w:bCs/>
        </w:rPr>
      </w:pPr>
      <w:r>
        <w:rPr>
          <w:rFonts w:cs="Arial"/>
          <w:bCs/>
        </w:rPr>
        <w:t>À</w:t>
      </w:r>
      <w:r>
        <w:rPr>
          <w:bCs/>
        </w:rPr>
        <w:t xml:space="preserve"> partir des informations qui vous sont communiqué</w:t>
      </w:r>
      <w:r w:rsidR="00C35D38">
        <w:rPr>
          <w:bCs/>
        </w:rPr>
        <w:t>e</w:t>
      </w:r>
      <w:r>
        <w:rPr>
          <w:bCs/>
        </w:rPr>
        <w:t xml:space="preserve">s dans le </w:t>
      </w:r>
      <w:r w:rsidRPr="005C2BBF">
        <w:rPr>
          <w:b/>
        </w:rPr>
        <w:t>document</w:t>
      </w:r>
      <w:r>
        <w:rPr>
          <w:bCs/>
        </w:rPr>
        <w:t>, rédigez la note à envoyer aux filiales qui ne respectent pas l’obligation d’emploi de travailleurs handicapés.</w:t>
      </w:r>
    </w:p>
    <w:p w14:paraId="560F0A39" w14:textId="77777777" w:rsidR="00622589" w:rsidRDefault="00622589" w:rsidP="00622589">
      <w:pPr>
        <w:spacing w:before="0"/>
      </w:pPr>
    </w:p>
    <w:p w14:paraId="1A080846" w14:textId="22E7465A" w:rsidR="00622589" w:rsidRDefault="00622589" w:rsidP="00622589">
      <w:pPr>
        <w:spacing w:before="0"/>
      </w:pPr>
    </w:p>
    <w:p w14:paraId="1D82B21B" w14:textId="77777777" w:rsidR="00622589" w:rsidRDefault="00622589" w:rsidP="00622589">
      <w:pPr>
        <w:spacing w:before="0"/>
      </w:pPr>
    </w:p>
    <w:bookmarkEnd w:id="0"/>
    <w:p w14:paraId="4132178F" w14:textId="77777777" w:rsidR="00622589" w:rsidRDefault="00622589" w:rsidP="00622589">
      <w:pPr>
        <w:spacing w:before="0"/>
      </w:pPr>
    </w:p>
    <w:p w14:paraId="39BE9048" w14:textId="77777777" w:rsidR="00622589" w:rsidRDefault="00622589" w:rsidP="00622589">
      <w:pPr>
        <w:spacing w:before="0"/>
      </w:pPr>
    </w:p>
    <w:p w14:paraId="5EB1F0FF" w14:textId="2D83599E" w:rsidR="00622589" w:rsidRPr="000213CE" w:rsidRDefault="00622589" w:rsidP="00622589">
      <w:pPr>
        <w:pStyle w:val="Titre1"/>
        <w:spacing w:before="72" w:after="48"/>
        <w:rPr>
          <w:rFonts w:ascii="Arial" w:hAnsi="Arial"/>
          <w:color w:val="000000" w:themeColor="text1"/>
          <w:szCs w:val="24"/>
        </w:rPr>
      </w:pPr>
      <w:r w:rsidRPr="000213CE">
        <w:rPr>
          <w:rFonts w:ascii="Arial" w:hAnsi="Arial"/>
          <w:color w:val="FFFFFF" w:themeColor="background1"/>
          <w:szCs w:val="24"/>
          <w:highlight w:val="red"/>
        </w:rPr>
        <w:lastRenderedPageBreak/>
        <w:t>Doc</w:t>
      </w:r>
      <w:r>
        <w:rPr>
          <w:rFonts w:ascii="Arial" w:hAnsi="Arial"/>
          <w:color w:val="FFFFFF" w:themeColor="background1"/>
          <w:szCs w:val="24"/>
          <w:highlight w:val="red"/>
        </w:rPr>
        <w:t>.</w:t>
      </w:r>
      <w:r w:rsidRPr="000213CE">
        <w:rPr>
          <w:rFonts w:ascii="Arial" w:hAnsi="Arial"/>
          <w:color w:val="FFFFFF" w:themeColor="background1"/>
          <w:szCs w:val="24"/>
          <w:highlight w:val="red"/>
        </w:rPr>
        <w:t xml:space="preserve"> </w:t>
      </w:r>
      <w:r w:rsidRPr="000213CE">
        <w:rPr>
          <w:rFonts w:ascii="Arial" w:hAnsi="Arial"/>
          <w:color w:val="FFFFFF" w:themeColor="background1"/>
          <w:szCs w:val="24"/>
        </w:rPr>
        <w:t> </w:t>
      </w:r>
      <w:r>
        <w:rPr>
          <w:rFonts w:ascii="Arial" w:hAnsi="Arial"/>
          <w:color w:val="000000" w:themeColor="text1"/>
          <w:szCs w:val="24"/>
        </w:rPr>
        <w:t xml:space="preserve"> </w:t>
      </w:r>
      <w:r w:rsidRPr="000213CE">
        <w:rPr>
          <w:rFonts w:ascii="Arial" w:hAnsi="Arial"/>
          <w:color w:val="000000" w:themeColor="text1"/>
          <w:szCs w:val="24"/>
        </w:rPr>
        <w:t>Secteur privé : qu'est-ce que l'obligation d'emploi de travailleurs handicapés ?</w:t>
      </w:r>
    </w:p>
    <w:p w14:paraId="6B77547B" w14:textId="77777777" w:rsidR="00622589" w:rsidRPr="000213CE" w:rsidRDefault="00622589" w:rsidP="00622589">
      <w:pPr>
        <w:spacing w:before="240" w:after="120"/>
        <w:rPr>
          <w:rFonts w:ascii="Times New Roman" w:hAnsi="Times New Roman" w:cs="Times New Roman"/>
          <w:i/>
          <w:iCs/>
          <w:sz w:val="22"/>
        </w:rPr>
      </w:pPr>
      <w:r w:rsidRPr="000213CE">
        <w:rPr>
          <w:i/>
          <w:iCs/>
          <w:sz w:val="18"/>
          <w:szCs w:val="20"/>
        </w:rPr>
        <w:t>Source : Direction de l'information légale et administrative (Premier ministre), Ministère chargé du travail</w:t>
      </w:r>
    </w:p>
    <w:p w14:paraId="5BF0D776" w14:textId="77777777" w:rsidR="00622589" w:rsidRPr="000213CE" w:rsidRDefault="00622589" w:rsidP="00622589">
      <w:pPr>
        <w:jc w:val="both"/>
        <w:rPr>
          <w:szCs w:val="20"/>
        </w:rPr>
      </w:pPr>
      <w:r w:rsidRPr="000213CE">
        <w:rPr>
          <w:szCs w:val="20"/>
        </w:rPr>
        <w:t>Tout employeur d'au moins 20 salariés doit employer des personnes en situation de handicap dans une proportion de </w:t>
      </w:r>
      <w:r w:rsidRPr="000213CE">
        <w:rPr>
          <w:rStyle w:val="prix"/>
          <w:rFonts w:cs="Arial"/>
          <w:color w:val="414856"/>
          <w:szCs w:val="20"/>
        </w:rPr>
        <w:t>6 %</w:t>
      </w:r>
      <w:r w:rsidRPr="000213CE">
        <w:rPr>
          <w:szCs w:val="20"/>
        </w:rPr>
        <w:t> de l'effectif total. L'obligation d'emploi concerne tous les salariés quelle que soit la nature de leur contrat. L'employeur doit déclarer chaque année le nombre d'emplois occupés par un travail handicapé pour justifier qu'il respecte son obligation d'emploi. Si l'employeur ne respecte pas son obligation d'emploi, il doit verser une contribution annuelle.</w:t>
      </w:r>
    </w:p>
    <w:p w14:paraId="4186AF8C" w14:textId="77777777" w:rsidR="00622589" w:rsidRPr="000213CE" w:rsidRDefault="00622589" w:rsidP="00C35D38">
      <w:pPr>
        <w:pStyle w:val="Titre1"/>
        <w:spacing w:after="48"/>
        <w:jc w:val="both"/>
        <w:rPr>
          <w:rFonts w:ascii="Arial" w:hAnsi="Arial"/>
          <w:color w:val="000000" w:themeColor="text1"/>
          <w:szCs w:val="24"/>
        </w:rPr>
      </w:pPr>
      <w:r w:rsidRPr="000213CE">
        <w:rPr>
          <w:rFonts w:ascii="Arial" w:hAnsi="Arial"/>
          <w:color w:val="000000" w:themeColor="text1"/>
          <w:szCs w:val="24"/>
        </w:rPr>
        <w:t>Personnes concernées par l'obligation d'emploi</w:t>
      </w:r>
    </w:p>
    <w:p w14:paraId="670953FD" w14:textId="77777777" w:rsidR="00622589" w:rsidRDefault="00622589" w:rsidP="00622589">
      <w:pPr>
        <w:jc w:val="both"/>
        <w:rPr>
          <w:sz w:val="24"/>
          <w:szCs w:val="24"/>
        </w:rPr>
      </w:pPr>
      <w:r>
        <w:t>Les personnes concernées par l'obligation d'emploi doivent se trouver dans l'une des 7 situations suivantes :</w:t>
      </w:r>
    </w:p>
    <w:p w14:paraId="6BE811B6" w14:textId="77777777" w:rsidR="00622589" w:rsidRDefault="00622589" w:rsidP="00622589">
      <w:pPr>
        <w:pStyle w:val="Paragraphedeliste"/>
        <w:numPr>
          <w:ilvl w:val="0"/>
          <w:numId w:val="4"/>
        </w:numPr>
        <w:jc w:val="both"/>
      </w:pPr>
      <w:r w:rsidRPr="005C2BBF">
        <w:rPr>
          <w:rFonts w:cs="Arial"/>
        </w:rPr>
        <w:t>Être reconnu travailleur handicapé (RQTH)</w:t>
      </w:r>
      <w:r>
        <w:t> par la commission des droits et de l'autonomie des personnes handicapées (CDAPH)</w:t>
      </w:r>
    </w:p>
    <w:p w14:paraId="40FC562C" w14:textId="77777777" w:rsidR="00622589" w:rsidRDefault="00622589" w:rsidP="00622589">
      <w:pPr>
        <w:pStyle w:val="Paragraphedeliste"/>
        <w:numPr>
          <w:ilvl w:val="0"/>
          <w:numId w:val="4"/>
        </w:numPr>
        <w:jc w:val="both"/>
      </w:pPr>
      <w:r>
        <w:t>Être victime d'un accident du travail ou d'une maladie professionnelle entraînant une incapacité permanente d'au moins </w:t>
      </w:r>
      <w:r w:rsidRPr="000213CE">
        <w:rPr>
          <w:rStyle w:val="prix"/>
          <w:rFonts w:cs="Arial"/>
          <w:color w:val="414856"/>
        </w:rPr>
        <w:t>10 %</w:t>
      </w:r>
      <w:r>
        <w:t> et percevoir une rente</w:t>
      </w:r>
    </w:p>
    <w:p w14:paraId="2B82B4EC" w14:textId="77777777" w:rsidR="00622589" w:rsidRPr="000213CE" w:rsidRDefault="00622589" w:rsidP="00C35D38">
      <w:pPr>
        <w:pStyle w:val="Titre1"/>
        <w:spacing w:after="48"/>
        <w:jc w:val="both"/>
        <w:rPr>
          <w:rFonts w:ascii="Arial" w:hAnsi="Arial"/>
          <w:color w:val="000000" w:themeColor="text1"/>
          <w:szCs w:val="24"/>
        </w:rPr>
      </w:pPr>
      <w:r w:rsidRPr="000213CE">
        <w:rPr>
          <w:rFonts w:ascii="Arial" w:hAnsi="Arial"/>
          <w:color w:val="000000" w:themeColor="text1"/>
          <w:szCs w:val="24"/>
        </w:rPr>
        <w:t>Décompte des salariés</w:t>
      </w:r>
    </w:p>
    <w:p w14:paraId="50637A88" w14:textId="77777777" w:rsidR="00622589" w:rsidRPr="000213CE" w:rsidRDefault="00622589" w:rsidP="00622589">
      <w:pPr>
        <w:jc w:val="both"/>
        <w:rPr>
          <w:sz w:val="24"/>
        </w:rPr>
      </w:pPr>
      <w:r w:rsidRPr="000213CE">
        <w:t>L'obligation d'emploi concerne toutes les formes d'emploi (salariés, stagiaires...).</w:t>
      </w:r>
    </w:p>
    <w:p w14:paraId="1360811C" w14:textId="77777777" w:rsidR="00622589" w:rsidRPr="000213CE" w:rsidRDefault="00622589" w:rsidP="00622589">
      <w:pPr>
        <w:jc w:val="both"/>
      </w:pPr>
      <w:r w:rsidRPr="000213CE">
        <w:t>Le seuil de 20 salariés s'apprécie en équivalent temps plein (ETP) en moyenne sur l'année pour chaque entreprise.</w:t>
      </w:r>
    </w:p>
    <w:p w14:paraId="7845D082" w14:textId="77777777" w:rsidR="00622589" w:rsidRPr="000213CE" w:rsidRDefault="00622589" w:rsidP="00622589">
      <w:pPr>
        <w:jc w:val="both"/>
      </w:pPr>
      <w:r w:rsidRPr="000213CE">
        <w:t>Chaque bénéficiaire est pris en compte en fonction de la proportion de son temps de présence dans l'entreprise.</w:t>
      </w:r>
    </w:p>
    <w:p w14:paraId="295CF40E" w14:textId="77777777" w:rsidR="00622589" w:rsidRPr="000213CE" w:rsidRDefault="00622589" w:rsidP="00622589">
      <w:pPr>
        <w:jc w:val="both"/>
      </w:pPr>
      <w:r w:rsidRPr="000213CE">
        <w:t>Le salarié dont la durée de travail est égale ou supérieure à la moitié de la durée légale ou conventionnelle compte pour </w:t>
      </w:r>
      <w:r w:rsidRPr="000213CE">
        <w:rPr>
          <w:b/>
          <w:bCs/>
        </w:rPr>
        <w:t>1 unité</w:t>
      </w:r>
      <w:r w:rsidRPr="000213CE">
        <w:t> (comme s'il avait été employé à temps complet). Cette unité est multipliée par le nombre de jours de présence du salarié dans l'entreprise, rapporté à l'année.</w:t>
      </w:r>
    </w:p>
    <w:p w14:paraId="6E0B750E" w14:textId="77777777" w:rsidR="00622589" w:rsidRPr="000213CE" w:rsidRDefault="00622589" w:rsidP="00622589">
      <w:pPr>
        <w:jc w:val="both"/>
      </w:pPr>
      <w:r w:rsidRPr="000213CE">
        <w:t>Le salarié dont la durée de travail est inférieure à la moitié de la durée légale ou conventionnelle compte pour une </w:t>
      </w:r>
      <w:r w:rsidRPr="000213CE">
        <w:rPr>
          <w:b/>
          <w:bCs/>
        </w:rPr>
        <w:t>1/2 unité</w:t>
      </w:r>
      <w:r w:rsidRPr="000213CE">
        <w:t>. Cette demi-unité est multipliée par le nombre de jours de présence du salarié dans l'entreprise, rapporté à l'année.</w:t>
      </w:r>
    </w:p>
    <w:p w14:paraId="48968E39" w14:textId="77777777" w:rsidR="00622589" w:rsidRPr="000213CE" w:rsidRDefault="00622589" w:rsidP="00622589">
      <w:pPr>
        <w:jc w:val="both"/>
      </w:pPr>
      <w:r w:rsidRPr="000213CE">
        <w:t>L'entreprise doit respecter un quota de 6 % de l'effectif de l'entreprise (2 % à Mayotte).</w:t>
      </w:r>
    </w:p>
    <w:p w14:paraId="52DB0F86" w14:textId="77777777" w:rsidR="00622589" w:rsidRPr="000213CE" w:rsidRDefault="00622589" w:rsidP="00622589">
      <w:pPr>
        <w:jc w:val="both"/>
      </w:pPr>
      <w:r w:rsidRPr="000213CE">
        <w:t>Ce quota s'applique sur l'effectif. Le résultat obtenu est, au besoin, arrondi à l'entier inférieur.</w:t>
      </w:r>
    </w:p>
    <w:p w14:paraId="38EF7A52" w14:textId="77777777" w:rsidR="00622589" w:rsidRPr="000213CE" w:rsidRDefault="00622589" w:rsidP="00C35D38">
      <w:pPr>
        <w:pStyle w:val="Titre1"/>
        <w:spacing w:after="48"/>
        <w:jc w:val="both"/>
        <w:rPr>
          <w:rFonts w:ascii="Arial" w:hAnsi="Arial"/>
          <w:color w:val="000000" w:themeColor="text1"/>
          <w:szCs w:val="24"/>
        </w:rPr>
      </w:pPr>
      <w:r w:rsidRPr="000213CE">
        <w:rPr>
          <w:rFonts w:ascii="Arial" w:hAnsi="Arial"/>
          <w:color w:val="000000" w:themeColor="text1"/>
          <w:szCs w:val="24"/>
        </w:rPr>
        <w:t>Conséquences en cas de non-respect de l'obligation d'emploi</w:t>
      </w:r>
    </w:p>
    <w:p w14:paraId="5634722E" w14:textId="77777777" w:rsidR="00622589" w:rsidRDefault="00622589" w:rsidP="00622589">
      <w:pPr>
        <w:jc w:val="both"/>
        <w:rPr>
          <w:sz w:val="24"/>
          <w:szCs w:val="24"/>
        </w:rPr>
      </w:pPr>
      <w:r>
        <w:t>Si l'employeur ne respecte pas son obligation d'emploi, il doit verser une </w:t>
      </w:r>
      <w:r w:rsidRPr="005C2BBF">
        <w:rPr>
          <w:rFonts w:cs="Arial"/>
        </w:rPr>
        <w:t>contribution annuelle</w:t>
      </w:r>
      <w:r>
        <w:t>.</w:t>
      </w:r>
    </w:p>
    <w:p w14:paraId="350D391C" w14:textId="77777777" w:rsidR="00622589" w:rsidRDefault="00622589" w:rsidP="00622589">
      <w:pPr>
        <w:jc w:val="both"/>
      </w:pPr>
      <w:r>
        <w:t>La contribution annuelle est versée à l'Agefiph. Le paiement se fait auprès de l'Urssaf ou de la Caisse générale de sécurité sociale. Elle est calculée en fonction du nombre de travailleurs handicapés que l'employeur aurait dû employer.</w:t>
      </w:r>
    </w:p>
    <w:p w14:paraId="5754BE50" w14:textId="77777777" w:rsidR="00622589" w:rsidRDefault="00622589" w:rsidP="00622589">
      <w:pPr>
        <w:spacing w:before="0"/>
        <w:jc w:val="both"/>
      </w:pPr>
    </w:p>
    <w:p w14:paraId="6915E66A" w14:textId="77777777" w:rsidR="00622589" w:rsidRDefault="00622589" w:rsidP="00622589">
      <w:pPr>
        <w:spacing w:before="0"/>
      </w:pPr>
    </w:p>
    <w:p w14:paraId="08356B2B" w14:textId="77777777" w:rsidR="00622589" w:rsidRDefault="00622589" w:rsidP="00622589">
      <w:pPr>
        <w:spacing w:before="0"/>
      </w:pPr>
    </w:p>
    <w:bookmarkEnd w:id="1"/>
    <w:p w14:paraId="73A2CDBD" w14:textId="77777777" w:rsidR="001B014B" w:rsidRPr="00622589" w:rsidRDefault="001B014B" w:rsidP="00622589"/>
    <w:sectPr w:rsidR="001B014B" w:rsidRPr="00622589" w:rsidSect="00622589">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734"/>
    <w:multiLevelType w:val="hybridMultilevel"/>
    <w:tmpl w:val="F0E65A36"/>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B4747A"/>
    <w:multiLevelType w:val="hybridMultilevel"/>
    <w:tmpl w:val="A8FE88A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7F760F"/>
    <w:multiLevelType w:val="hybridMultilevel"/>
    <w:tmpl w:val="EAEE6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330AE7"/>
    <w:multiLevelType w:val="hybridMultilevel"/>
    <w:tmpl w:val="C9846E6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26467847">
    <w:abstractNumId w:val="2"/>
  </w:num>
  <w:num w:numId="2" w16cid:durableId="1456169155">
    <w:abstractNumId w:val="1"/>
  </w:num>
  <w:num w:numId="3" w16cid:durableId="536964629">
    <w:abstractNumId w:val="4"/>
  </w:num>
  <w:num w:numId="4" w16cid:durableId="1080174445">
    <w:abstractNumId w:val="3"/>
  </w:num>
  <w:num w:numId="5" w16cid:durableId="10230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47"/>
    <w:rsid w:val="001B014B"/>
    <w:rsid w:val="00622589"/>
    <w:rsid w:val="00744B11"/>
    <w:rsid w:val="008F0B46"/>
    <w:rsid w:val="00A63817"/>
    <w:rsid w:val="00AC74CE"/>
    <w:rsid w:val="00C35D38"/>
    <w:rsid w:val="00DD509C"/>
    <w:rsid w:val="00DF0E4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0A32"/>
  <w15:chartTrackingRefBased/>
  <w15:docId w15:val="{EF7EB9BF-9FE4-4774-9205-1066CA52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47"/>
    <w:pPr>
      <w:spacing w:before="120" w:after="0" w:line="240" w:lineRule="auto"/>
    </w:pPr>
    <w:rPr>
      <w:rFonts w:ascii="Arial" w:hAnsi="Arial"/>
      <w:sz w:val="20"/>
    </w:rPr>
  </w:style>
  <w:style w:type="paragraph" w:styleId="Titre1">
    <w:name w:val="heading 1"/>
    <w:basedOn w:val="Normal"/>
    <w:next w:val="Normal"/>
    <w:link w:val="Titre1Car"/>
    <w:uiPriority w:val="9"/>
    <w:qFormat/>
    <w:rsid w:val="00622589"/>
    <w:pPr>
      <w:outlineLvl w:val="0"/>
    </w:pPr>
    <w:rPr>
      <w:rFonts w:ascii="Arial Black" w:eastAsia="Times New Roman" w:hAnsi="Arial Black" w:cs="Arial"/>
      <w:b/>
      <w:color w:val="000000"/>
      <w:sz w:val="24"/>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0E47"/>
    <w:pPr>
      <w:ind w:left="720"/>
      <w:contextualSpacing/>
    </w:pPr>
  </w:style>
  <w:style w:type="table" w:styleId="Grilledutableau">
    <w:name w:val="Table Grid"/>
    <w:basedOn w:val="TableauNormal"/>
    <w:uiPriority w:val="59"/>
    <w:rsid w:val="00DF0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622589"/>
    <w:rPr>
      <w:rFonts w:ascii="Arial Black" w:eastAsia="Times New Roman" w:hAnsi="Arial Black" w:cs="Arial"/>
      <w:b/>
      <w:color w:val="000000"/>
      <w:sz w:val="24"/>
      <w:szCs w:val="18"/>
      <w:lang w:eastAsia="fr-FR"/>
    </w:rPr>
  </w:style>
  <w:style w:type="character" w:customStyle="1" w:styleId="prix">
    <w:name w:val="prix"/>
    <w:basedOn w:val="Policepardfaut"/>
    <w:rsid w:val="0062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3504</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2020-09-09T17:26:00Z</dcterms:created>
  <dcterms:modified xsi:type="dcterms:W3CDTF">2024-12-11T22:59:00Z</dcterms:modified>
</cp:coreProperties>
</file>