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9776" w:type="dxa"/>
        <w:shd w:val="clear" w:color="auto" w:fill="FFFF00"/>
        <w:tblLook w:val="04A0" w:firstRow="1" w:lastRow="0" w:firstColumn="1" w:lastColumn="0" w:noHBand="0" w:noVBand="1"/>
      </w:tblPr>
      <w:tblGrid>
        <w:gridCol w:w="1413"/>
        <w:gridCol w:w="7229"/>
        <w:gridCol w:w="1134"/>
      </w:tblGrid>
      <w:tr w:rsidR="00740B59" w:rsidRPr="001F7CB8" w14:paraId="50332056" w14:textId="77777777" w:rsidTr="006B6303">
        <w:trPr>
          <w:trHeight w:val="386"/>
        </w:trPr>
        <w:tc>
          <w:tcPr>
            <w:tcW w:w="9776" w:type="dxa"/>
            <w:gridSpan w:val="3"/>
            <w:shd w:val="clear" w:color="auto" w:fill="FFFF00"/>
          </w:tcPr>
          <w:p w14:paraId="25809078" w14:textId="289404C4" w:rsidR="00740B59" w:rsidRPr="001F7CB8" w:rsidRDefault="00740B59" w:rsidP="00A05ECA">
            <w:pPr>
              <w:pStyle w:val="Titre2"/>
              <w:jc w:val="center"/>
            </w:pPr>
            <w:r w:rsidRPr="001F7CB8">
              <w:t xml:space="preserve">Réflexion </w:t>
            </w:r>
            <w:r w:rsidR="004A57E7">
              <w:t>4</w:t>
            </w:r>
            <w:r>
              <w:t xml:space="preserve"> - </w:t>
            </w:r>
            <w:r w:rsidRPr="001F7CB8">
              <w:t>Comprendre les enjeux de l’intégration</w:t>
            </w:r>
          </w:p>
        </w:tc>
      </w:tr>
      <w:tr w:rsidR="00740B59" w:rsidRPr="00F64ACE" w14:paraId="38CC523A" w14:textId="77777777" w:rsidTr="006B6303">
        <w:trPr>
          <w:trHeight w:val="504"/>
        </w:trPr>
        <w:tc>
          <w:tcPr>
            <w:tcW w:w="1413" w:type="dxa"/>
            <w:shd w:val="clear" w:color="auto" w:fill="FFFF00"/>
            <w:vAlign w:val="center"/>
          </w:tcPr>
          <w:p w14:paraId="546C6DCA" w14:textId="77777777" w:rsidR="00740B59" w:rsidRPr="00F64ACE" w:rsidRDefault="00740B59" w:rsidP="008737DB">
            <w:pPr>
              <w:spacing w:before="0"/>
              <w:rPr>
                <w:bCs/>
              </w:rPr>
            </w:pPr>
            <w:r w:rsidRPr="00F64ACE">
              <w:rPr>
                <w:bCs/>
              </w:rPr>
              <w:t>Durée : 15’</w:t>
            </w:r>
          </w:p>
        </w:tc>
        <w:tc>
          <w:tcPr>
            <w:tcW w:w="7229" w:type="dxa"/>
            <w:shd w:val="clear" w:color="auto" w:fill="FFFF00"/>
            <w:vAlign w:val="center"/>
          </w:tcPr>
          <w:p w14:paraId="5EBCC376" w14:textId="6C7F12EF" w:rsidR="00740B59" w:rsidRPr="00F64ACE" w:rsidRDefault="008737DB" w:rsidP="008737DB">
            <w:pPr>
              <w:spacing w:before="0"/>
              <w:jc w:val="center"/>
              <w:rPr>
                <w:bCs/>
              </w:rPr>
            </w:pPr>
            <w:r>
              <w:rPr>
                <w:rFonts w:cs="Arial"/>
                <w:b/>
                <w:bCs/>
                <w:noProof/>
                <w:szCs w:val="16"/>
              </w:rPr>
              <w:drawing>
                <wp:inline distT="0" distB="0" distL="0" distR="0" wp14:anchorId="62063CFB" wp14:editId="245E413A">
                  <wp:extent cx="324000" cy="324000"/>
                  <wp:effectExtent l="0" t="0" r="0" b="0"/>
                  <wp:docPr id="36" name="Graphique 36"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que 15"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b/>
                <w:bCs/>
                <w:szCs w:val="16"/>
              </w:rPr>
              <w:t>ou</w:t>
            </w:r>
            <w:r>
              <w:rPr>
                <w:rFonts w:cs="Arial"/>
                <w:b/>
                <w:bCs/>
                <w:noProof/>
                <w:szCs w:val="16"/>
              </w:rPr>
              <w:drawing>
                <wp:inline distT="0" distB="0" distL="0" distR="0" wp14:anchorId="4EF911F4" wp14:editId="4432AD35">
                  <wp:extent cx="360000" cy="360000"/>
                  <wp:effectExtent l="0" t="0" r="0" b="2540"/>
                  <wp:docPr id="37" name="Graphique 37"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que 16"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4" w:type="dxa"/>
            <w:shd w:val="clear" w:color="auto" w:fill="FFFF00"/>
            <w:vAlign w:val="center"/>
          </w:tcPr>
          <w:p w14:paraId="0AA360FC" w14:textId="77777777" w:rsidR="00740B59" w:rsidRPr="00F64ACE" w:rsidRDefault="00740B59" w:rsidP="006B6303">
            <w:pPr>
              <w:spacing w:before="0"/>
              <w:jc w:val="center"/>
              <w:rPr>
                <w:bCs/>
              </w:rPr>
            </w:pPr>
            <w:r w:rsidRPr="00F64ACE">
              <w:rPr>
                <w:bCs/>
              </w:rPr>
              <w:t>Source</w:t>
            </w:r>
          </w:p>
        </w:tc>
      </w:tr>
    </w:tbl>
    <w:p w14:paraId="4463D595" w14:textId="1372EE6C" w:rsidR="00740B59" w:rsidRPr="008C2933" w:rsidRDefault="00740B59" w:rsidP="006B6303">
      <w:pPr>
        <w:spacing w:before="240" w:after="120"/>
        <w:rPr>
          <w:b/>
          <w:sz w:val="24"/>
          <w:szCs w:val="32"/>
        </w:rPr>
      </w:pPr>
      <w:r w:rsidRPr="008C2933">
        <w:rPr>
          <w:b/>
          <w:sz w:val="24"/>
          <w:szCs w:val="32"/>
        </w:rPr>
        <w:t>Travail à faire</w:t>
      </w:r>
    </w:p>
    <w:p w14:paraId="4C17EFCA" w14:textId="4DF110CE" w:rsidR="00312F0F" w:rsidRPr="00312F0F" w:rsidRDefault="00312F0F" w:rsidP="00312F0F">
      <w:pPr>
        <w:spacing w:after="120"/>
        <w:rPr>
          <w:bCs/>
        </w:rPr>
      </w:pPr>
      <w:r w:rsidRPr="00312F0F">
        <w:rPr>
          <w:bCs/>
        </w:rPr>
        <w:t xml:space="preserve">Après avoir lu le </w:t>
      </w:r>
      <w:r w:rsidRPr="00312F0F">
        <w:rPr>
          <w:b/>
        </w:rPr>
        <w:t>document</w:t>
      </w:r>
      <w:r w:rsidRPr="00312F0F">
        <w:rPr>
          <w:bCs/>
        </w:rPr>
        <w:t>, répondez aux questions suivantes :</w:t>
      </w:r>
    </w:p>
    <w:p w14:paraId="01B4ECFC" w14:textId="06F20429" w:rsidR="00740B59" w:rsidRPr="008C2933" w:rsidRDefault="00740B59" w:rsidP="00740B59">
      <w:pPr>
        <w:pStyle w:val="Paragraphedeliste"/>
        <w:numPr>
          <w:ilvl w:val="0"/>
          <w:numId w:val="5"/>
        </w:numPr>
        <w:spacing w:before="0"/>
        <w:rPr>
          <w:bCs/>
        </w:rPr>
      </w:pPr>
      <w:r w:rsidRPr="008C2933">
        <w:rPr>
          <w:bCs/>
        </w:rPr>
        <w:t>Pourquoi est-il important de préparer l’accueil du</w:t>
      </w:r>
      <w:r>
        <w:rPr>
          <w:bCs/>
        </w:rPr>
        <w:t>(de la)</w:t>
      </w:r>
      <w:r w:rsidRPr="008C2933">
        <w:rPr>
          <w:bCs/>
        </w:rPr>
        <w:t xml:space="preserve"> nouveau</w:t>
      </w:r>
      <w:r>
        <w:rPr>
          <w:bCs/>
        </w:rPr>
        <w:t>(velle)</w:t>
      </w:r>
      <w:r w:rsidRPr="008C2933">
        <w:rPr>
          <w:bCs/>
        </w:rPr>
        <w:t xml:space="preserve"> salarié</w:t>
      </w:r>
      <w:r>
        <w:rPr>
          <w:bCs/>
        </w:rPr>
        <w:t>(e)</w:t>
      </w:r>
      <w:r w:rsidRPr="008C2933">
        <w:rPr>
          <w:bCs/>
        </w:rPr>
        <w:t> ?</w:t>
      </w:r>
    </w:p>
    <w:p w14:paraId="14F4338D" w14:textId="14523298" w:rsidR="00740B59" w:rsidRPr="008C2933" w:rsidRDefault="00740B59" w:rsidP="00740B59">
      <w:pPr>
        <w:pStyle w:val="Paragraphedeliste"/>
        <w:numPr>
          <w:ilvl w:val="0"/>
          <w:numId w:val="5"/>
        </w:numPr>
        <w:spacing w:before="0"/>
        <w:rPr>
          <w:bCs/>
        </w:rPr>
      </w:pPr>
      <w:r w:rsidRPr="008C2933">
        <w:rPr>
          <w:bCs/>
        </w:rPr>
        <w:t>Quelles sont les actions qui favorisent l’accueil d’un</w:t>
      </w:r>
      <w:r>
        <w:rPr>
          <w:bCs/>
        </w:rPr>
        <w:t>(e)</w:t>
      </w:r>
      <w:r w:rsidRPr="008C2933">
        <w:rPr>
          <w:bCs/>
        </w:rPr>
        <w:t xml:space="preserve"> salarié</w:t>
      </w:r>
      <w:r>
        <w:rPr>
          <w:bCs/>
        </w:rPr>
        <w:t>(e)</w:t>
      </w:r>
      <w:r w:rsidRPr="008C2933">
        <w:rPr>
          <w:bCs/>
        </w:rPr>
        <w:t> ?</w:t>
      </w:r>
    </w:p>
    <w:p w14:paraId="776A5DF2" w14:textId="12352036" w:rsidR="00740B59" w:rsidRDefault="00740B59" w:rsidP="00740B59">
      <w:pPr>
        <w:spacing w:before="240"/>
        <w:jc w:val="left"/>
      </w:pPr>
    </w:p>
    <w:p w14:paraId="46A306D3" w14:textId="3B315C15" w:rsidR="00740B59" w:rsidRDefault="006B6303" w:rsidP="00740B59">
      <w:pPr>
        <w:pStyle w:val="Titre3"/>
      </w:pPr>
      <w:r>
        <w:rPr>
          <w:i/>
          <w:noProof/>
        </w:rPr>
        <w:drawing>
          <wp:anchor distT="0" distB="0" distL="114300" distR="114300" simplePos="0" relativeHeight="251659264" behindDoc="0" locked="0" layoutInCell="1" allowOverlap="1" wp14:anchorId="7CECCC33" wp14:editId="20D5DF12">
            <wp:simplePos x="0" y="0"/>
            <wp:positionH relativeFrom="column">
              <wp:posOffset>3868054</wp:posOffset>
            </wp:positionH>
            <wp:positionV relativeFrom="paragraph">
              <wp:posOffset>142837</wp:posOffset>
            </wp:positionV>
            <wp:extent cx="2357120" cy="2324100"/>
            <wp:effectExtent l="0" t="0" r="5080" b="0"/>
            <wp:wrapSquare wrapText="bothSides"/>
            <wp:docPr id="956252458" name="Image 5" descr="Une image contenant personne, Visage humain, habits, ho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252458" name="Image 5" descr="Une image contenant personne, Visage humain, habits, homm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2357120" cy="2324100"/>
                    </a:xfrm>
                    <a:prstGeom prst="rect">
                      <a:avLst/>
                    </a:prstGeom>
                  </pic:spPr>
                </pic:pic>
              </a:graphicData>
            </a:graphic>
          </wp:anchor>
        </w:drawing>
      </w:r>
      <w:r w:rsidR="00740B59" w:rsidRPr="00F64ACE">
        <w:rPr>
          <w:color w:val="FFFFFF" w:themeColor="background1"/>
          <w:szCs w:val="22"/>
          <w:highlight w:val="red"/>
        </w:rPr>
        <w:t>Doc</w:t>
      </w:r>
      <w:r w:rsidR="008737DB">
        <w:rPr>
          <w:color w:val="FFFFFF" w:themeColor="background1"/>
          <w:szCs w:val="22"/>
          <w:highlight w:val="red"/>
        </w:rPr>
        <w:t>.</w:t>
      </w:r>
      <w:r w:rsidR="00740B59" w:rsidRPr="00F64ACE">
        <w:rPr>
          <w:color w:val="FFFFFF" w:themeColor="background1"/>
          <w:szCs w:val="22"/>
          <w:highlight w:val="red"/>
        </w:rPr>
        <w:t> </w:t>
      </w:r>
      <w:r w:rsidR="00740B59" w:rsidRPr="00F64ACE">
        <w:rPr>
          <w:color w:val="FFFFFF" w:themeColor="background1"/>
          <w:szCs w:val="22"/>
        </w:rPr>
        <w:t xml:space="preserve"> </w:t>
      </w:r>
      <w:r w:rsidR="00740B59">
        <w:t>Intégration du salarié</w:t>
      </w:r>
    </w:p>
    <w:p w14:paraId="77499481" w14:textId="31A3A521" w:rsidR="00740B59" w:rsidRPr="00D22C73" w:rsidRDefault="00740B59" w:rsidP="00740B59">
      <w:pPr>
        <w:spacing w:after="240"/>
        <w:jc w:val="left"/>
        <w:rPr>
          <w:i/>
        </w:rPr>
      </w:pPr>
      <w:r w:rsidRPr="00D22C73">
        <w:rPr>
          <w:i/>
        </w:rPr>
        <w:t>http://www.orgintegra.com/ressources-humaines/iintegration-nouveaux-salaries#accueillir</w:t>
      </w:r>
    </w:p>
    <w:p w14:paraId="5CD3207B" w14:textId="77777777" w:rsidR="00740B59" w:rsidRPr="00D22C73" w:rsidRDefault="00740B59" w:rsidP="00740B59">
      <w:pPr>
        <w:rPr>
          <w:b/>
          <w:color w:val="FF6600"/>
        </w:rPr>
      </w:pPr>
      <w:r w:rsidRPr="00D22C73">
        <w:rPr>
          <w:b/>
        </w:rPr>
        <w:t>Accueillir, la première étape de l’intégration</w:t>
      </w:r>
    </w:p>
    <w:p w14:paraId="2A920632" w14:textId="77777777" w:rsidR="00740B59" w:rsidRPr="00D22C73" w:rsidRDefault="00740B59" w:rsidP="00740B59">
      <w:r w:rsidRPr="00D22C73">
        <w:t>Il permet de donner au nouveau recruté les informations lui permettant de se situer au sein de l’entreprise.</w:t>
      </w:r>
    </w:p>
    <w:p w14:paraId="3F047B24" w14:textId="77777777" w:rsidR="00740B59" w:rsidRPr="00D22C73" w:rsidRDefault="00740B59" w:rsidP="00740B59">
      <w:r w:rsidRPr="00D22C73">
        <w:t>Il appartient au responsable hiérarchique d’accueillir son nouvel équipier. Il peut s’appuyer sur un livret d’accueil. Il doit présenter le nouvel équipier à ses interlocuteurs potentiels : services fonctionnels ou personnes ressources, hiérarchiques, collègues, ainsi que les locaux et leur fonctionnement, y compris pour des professionnels intervenant à l’extérieur.</w:t>
      </w:r>
    </w:p>
    <w:p w14:paraId="29F4D8CA" w14:textId="77777777" w:rsidR="00740B59" w:rsidRPr="00D22C73" w:rsidRDefault="00740B59" w:rsidP="00740B59">
      <w:pPr>
        <w:rPr>
          <w:b/>
        </w:rPr>
      </w:pPr>
      <w:bookmarkStart w:id="0" w:name="tutorat"/>
      <w:bookmarkEnd w:id="0"/>
      <w:r w:rsidRPr="00D22C73">
        <w:rPr>
          <w:b/>
        </w:rPr>
        <w:t>Mettre en place un tutorat</w:t>
      </w:r>
    </w:p>
    <w:p w14:paraId="312D8684" w14:textId="77777777" w:rsidR="00740B59" w:rsidRPr="00D22C73" w:rsidRDefault="00740B59" w:rsidP="00740B59">
      <w:r w:rsidRPr="00D22C73">
        <w:t>Le tutorat est un levier important de professionnalisation des nouveaux salariés.</w:t>
      </w:r>
      <w:r>
        <w:t xml:space="preserve"> </w:t>
      </w:r>
      <w:r w:rsidRPr="00D22C73">
        <w:t>Le tuteur de proximité est un salarié expérimenté et volontaire, il transmet les gestes professionnels. Son rôle doit être soutenu et reconnu pour favoriser sa motivation. Plusieurs leviers de reconnaissance et de soutien sont possibles envers le tuteur :</w:t>
      </w:r>
    </w:p>
    <w:p w14:paraId="3A8E3438" w14:textId="77777777" w:rsidR="00740B59" w:rsidRPr="00D22C73" w:rsidRDefault="00740B59" w:rsidP="00740B59">
      <w:pPr>
        <w:pStyle w:val="Paragraphedeliste"/>
        <w:numPr>
          <w:ilvl w:val="0"/>
          <w:numId w:val="1"/>
        </w:numPr>
        <w:spacing w:before="0"/>
      </w:pPr>
      <w:r w:rsidRPr="00D22C73">
        <w:t>Reconnaissance verbale par la hiérarchie de l’engagement et de l’effort fourni</w:t>
      </w:r>
      <w:r>
        <w:t xml:space="preserve"> et </w:t>
      </w:r>
      <w:r w:rsidRPr="00D22C73">
        <w:t>soutien face aux situations posant problème</w:t>
      </w:r>
      <w:r>
        <w:t>,</w:t>
      </w:r>
      <w:r w:rsidRPr="00D22C73">
        <w:t xml:space="preserve"> </w:t>
      </w:r>
    </w:p>
    <w:p w14:paraId="7C762002" w14:textId="77777777" w:rsidR="00740B59" w:rsidRPr="00D22C73" w:rsidRDefault="00740B59" w:rsidP="00740B59">
      <w:pPr>
        <w:pStyle w:val="Paragraphedeliste"/>
        <w:numPr>
          <w:ilvl w:val="0"/>
          <w:numId w:val="1"/>
        </w:numPr>
      </w:pPr>
      <w:r w:rsidRPr="00D22C73">
        <w:t>Formation du tuteur</w:t>
      </w:r>
      <w:r>
        <w:t xml:space="preserve">, </w:t>
      </w:r>
      <w:r w:rsidRPr="00D22C73">
        <w:t>prime de tutorat</w:t>
      </w:r>
      <w:r>
        <w:t xml:space="preserve"> et </w:t>
      </w:r>
      <w:r w:rsidRPr="00D22C73">
        <w:t>promotion professionnelle (certaines entreprises font du tutorat une première étape vers les fonctions de responsable d’équipe).</w:t>
      </w:r>
    </w:p>
    <w:p w14:paraId="5AB6DA7F" w14:textId="77777777" w:rsidR="00740B59" w:rsidRPr="003728FD" w:rsidRDefault="00740B59" w:rsidP="00740B59">
      <w:pPr>
        <w:rPr>
          <w:b/>
        </w:rPr>
      </w:pPr>
      <w:r w:rsidRPr="003728FD">
        <w:rPr>
          <w:b/>
        </w:rPr>
        <w:t>L’efficacité du tutorat est aussi renforcée par un soutien envers le nouvel embauché :</w:t>
      </w:r>
    </w:p>
    <w:p w14:paraId="33E91806" w14:textId="77777777" w:rsidR="00740B59" w:rsidRPr="00D22C73" w:rsidRDefault="00740B59" w:rsidP="00740B59">
      <w:pPr>
        <w:pStyle w:val="Paragraphedeliste"/>
        <w:numPr>
          <w:ilvl w:val="0"/>
          <w:numId w:val="1"/>
        </w:numPr>
      </w:pPr>
      <w:r w:rsidRPr="00D22C73">
        <w:t>Reconnaissance verbale par la hiérarchie de l’engagement et de l’effort fourni</w:t>
      </w:r>
      <w:r>
        <w:t>,</w:t>
      </w:r>
    </w:p>
    <w:p w14:paraId="104B6883" w14:textId="77777777" w:rsidR="00740B59" w:rsidRPr="00D22C73" w:rsidRDefault="00740B59" w:rsidP="00740B59">
      <w:pPr>
        <w:pStyle w:val="Paragraphedeliste"/>
        <w:numPr>
          <w:ilvl w:val="0"/>
          <w:numId w:val="1"/>
        </w:numPr>
      </w:pPr>
      <w:r w:rsidRPr="00D22C73">
        <w:t>Formation du tutoré ; souvent oubliée, pourtant un levier incontest</w:t>
      </w:r>
      <w:r>
        <w:t xml:space="preserve">able de l’efficacité du tutorat </w:t>
      </w:r>
      <w:r w:rsidRPr="00D22C73">
        <w:t xml:space="preserve">: </w:t>
      </w:r>
    </w:p>
    <w:p w14:paraId="37F52442" w14:textId="77777777" w:rsidR="00740B59" w:rsidRPr="00D22C73" w:rsidRDefault="00740B59" w:rsidP="00740B59">
      <w:r w:rsidRPr="00D22C73">
        <w:t xml:space="preserve">La mise en place d’un tutorat se heurte souvent à des contraintes budgétaires : le tutorat suppose un investissement en temps. Il est intéressant </w:t>
      </w:r>
      <w:r>
        <w:t>de chiffrer c</w:t>
      </w:r>
      <w:r w:rsidRPr="00D22C73">
        <w:t>e coût et de contacter son organisme collecteur (OPCA) pour étudier les possibilités de pr</w:t>
      </w:r>
      <w:r>
        <w:t>ise en charge de la fonction tut</w:t>
      </w:r>
      <w:r w:rsidRPr="00D22C73">
        <w:t xml:space="preserve">orale. </w:t>
      </w:r>
    </w:p>
    <w:p w14:paraId="527CDA6E" w14:textId="77777777" w:rsidR="00740B59" w:rsidRPr="00D22C73" w:rsidRDefault="00740B59" w:rsidP="00740B59">
      <w:pPr>
        <w:rPr>
          <w:b/>
        </w:rPr>
      </w:pPr>
      <w:bookmarkStart w:id="1" w:name="poste"/>
      <w:bookmarkEnd w:id="1"/>
      <w:r w:rsidRPr="00D22C73">
        <w:rPr>
          <w:b/>
        </w:rPr>
        <w:t>Planifier la prise de poste</w:t>
      </w:r>
    </w:p>
    <w:p w14:paraId="1AD4A1BA" w14:textId="77777777" w:rsidR="00740B59" w:rsidRPr="00D22C73" w:rsidRDefault="00740B59" w:rsidP="00740B59">
      <w:r w:rsidRPr="00D22C73">
        <w:t>Il peut être utile de prévoir une prise de poste progressive, notamment lorsque les nouveaux embauchés ont signalé une appréhension ou une réticence ou tout simplement un manque d’expérience vis-à-vis de certaines missions ou tâches. Cela permet d’éviter les prises de postes difficiles, qui peuvent donner lieu à des démissions en cours de période d’essai.</w:t>
      </w:r>
    </w:p>
    <w:p w14:paraId="6A4D2865" w14:textId="77777777" w:rsidR="00740B59" w:rsidRPr="00D22C73" w:rsidRDefault="00740B59" w:rsidP="00740B59">
      <w:pPr>
        <w:rPr>
          <w:b/>
        </w:rPr>
      </w:pPr>
      <w:bookmarkStart w:id="2" w:name="competences"/>
      <w:bookmarkEnd w:id="2"/>
      <w:r w:rsidRPr="00D22C73">
        <w:rPr>
          <w:b/>
        </w:rPr>
        <w:t>Valider les compétences</w:t>
      </w:r>
    </w:p>
    <w:p w14:paraId="2D13A400" w14:textId="77777777" w:rsidR="00740B59" w:rsidRPr="00D22C73" w:rsidRDefault="00740B59" w:rsidP="00740B59">
      <w:r>
        <w:t xml:space="preserve">Elles </w:t>
      </w:r>
      <w:r w:rsidRPr="00D22C73">
        <w:t xml:space="preserve">seront validées </w:t>
      </w:r>
      <w:r>
        <w:t>par la hiérarchie. C</w:t>
      </w:r>
      <w:r w:rsidRPr="00D22C73">
        <w:t>e</w:t>
      </w:r>
      <w:r>
        <w:t>s</w:t>
      </w:r>
      <w:r w:rsidRPr="00D22C73">
        <w:t xml:space="preserve"> évaluation</w:t>
      </w:r>
      <w:r>
        <w:t>s</w:t>
      </w:r>
      <w:r w:rsidRPr="00D22C73">
        <w:t xml:space="preserve"> </w:t>
      </w:r>
      <w:r>
        <w:t>sont</w:t>
      </w:r>
      <w:r w:rsidRPr="00D22C73">
        <w:t xml:space="preserve"> annoncé</w:t>
      </w:r>
      <w:r>
        <w:t>es, planifiées et communiquées</w:t>
      </w:r>
      <w:r w:rsidRPr="00D22C73">
        <w:t xml:space="preserve"> lors de l’embauche et de l‘accueil, afin d’en fixer le cadre et les objectifs.</w:t>
      </w:r>
    </w:p>
    <w:p w14:paraId="658770C2" w14:textId="77777777" w:rsidR="00740B59" w:rsidRDefault="00740B59" w:rsidP="00740B59">
      <w:r w:rsidRPr="00D22C73">
        <w:t>Une première évaluation peut être programmée au bout de 8 jours, afin de se donner le temps et les moyens d’améliorer ce qui doit l’être avant la fin de la période d’essai et de soutenir au mieux le nouvel embauché. Une seconde évaluation peut être prévue au bout de trois semaines, pour prendre la mesure des évolutions.</w:t>
      </w:r>
    </w:p>
    <w:p w14:paraId="17FDBDBD" w14:textId="77777777" w:rsidR="00740B59" w:rsidRDefault="00740B59" w:rsidP="00740B59"/>
    <w:p w14:paraId="7C64A76A" w14:textId="77777777" w:rsidR="00740B59" w:rsidRDefault="00740B59" w:rsidP="00740B59"/>
    <w:p w14:paraId="6A202E2E" w14:textId="77777777" w:rsidR="00C72487" w:rsidRDefault="00C72487" w:rsidP="00C72487">
      <w:pPr>
        <w:rPr>
          <w:lang w:eastAsia="fr-FR"/>
        </w:rPr>
      </w:pPr>
    </w:p>
    <w:p w14:paraId="6F987898" w14:textId="77777777" w:rsidR="00C72487" w:rsidRDefault="00C72487" w:rsidP="00C72487">
      <w:pPr>
        <w:rPr>
          <w:lang w:eastAsia="fr-FR"/>
        </w:rPr>
      </w:pPr>
    </w:p>
    <w:p w14:paraId="3316C444" w14:textId="1426A007" w:rsidR="00607F0A" w:rsidRPr="009F1A15" w:rsidRDefault="006B6303" w:rsidP="00C65124">
      <w:pPr>
        <w:pStyle w:val="Titre3"/>
        <w:spacing w:before="0"/>
        <w:rPr>
          <w:lang w:eastAsia="fr-FR"/>
        </w:rPr>
      </w:pPr>
      <w:r>
        <w:rPr>
          <w:lang w:eastAsia="fr-FR"/>
        </w:rPr>
        <w:lastRenderedPageBreak/>
        <w:t>Réponses</w:t>
      </w:r>
    </w:p>
    <w:p w14:paraId="0B7440DE" w14:textId="77777777" w:rsidR="00607F0A" w:rsidRPr="009F1A15" w:rsidRDefault="00607F0A" w:rsidP="00C72487">
      <w:pPr>
        <w:rPr>
          <w:sz w:val="22"/>
          <w:lang w:eastAsia="fr-FR"/>
        </w:rPr>
      </w:pPr>
    </w:p>
    <w:p w14:paraId="05E9482A" w14:textId="58468D81" w:rsidR="00607F0A" w:rsidRPr="009F1A15" w:rsidRDefault="00607F0A" w:rsidP="00C72487">
      <w:pPr>
        <w:pStyle w:val="Paragraphedeliste"/>
        <w:numPr>
          <w:ilvl w:val="0"/>
          <w:numId w:val="3"/>
        </w:numPr>
        <w:spacing w:before="0"/>
        <w:rPr>
          <w:b/>
          <w:sz w:val="24"/>
        </w:rPr>
      </w:pPr>
      <w:r w:rsidRPr="009F1A15">
        <w:rPr>
          <w:b/>
          <w:sz w:val="24"/>
        </w:rPr>
        <w:t>Pourquoi est-il important de préparer l’accueil du</w:t>
      </w:r>
      <w:r w:rsidR="00740B59">
        <w:rPr>
          <w:b/>
          <w:sz w:val="24"/>
        </w:rPr>
        <w:t>(de la)</w:t>
      </w:r>
      <w:r w:rsidRPr="009F1A15">
        <w:rPr>
          <w:b/>
          <w:sz w:val="24"/>
        </w:rPr>
        <w:t xml:space="preserve"> nouveau</w:t>
      </w:r>
      <w:r w:rsidR="00740B59">
        <w:rPr>
          <w:b/>
          <w:sz w:val="24"/>
        </w:rPr>
        <w:t>(velle)</w:t>
      </w:r>
      <w:r w:rsidRPr="009F1A15">
        <w:rPr>
          <w:b/>
          <w:sz w:val="24"/>
        </w:rPr>
        <w:t xml:space="preserve"> salarié</w:t>
      </w:r>
      <w:r w:rsidR="00740B59">
        <w:rPr>
          <w:b/>
          <w:sz w:val="24"/>
        </w:rPr>
        <w:t>(e)</w:t>
      </w:r>
      <w:r w:rsidRPr="009F1A15">
        <w:rPr>
          <w:b/>
          <w:sz w:val="24"/>
        </w:rPr>
        <w:t> ?</w:t>
      </w:r>
    </w:p>
    <w:p w14:paraId="6182199F" w14:textId="6D3F44C4" w:rsidR="00607F0A" w:rsidRDefault="00607F0A" w:rsidP="00C72487">
      <w:pPr>
        <w:spacing w:before="0"/>
        <w:rPr>
          <w:b/>
          <w:sz w:val="24"/>
        </w:rPr>
      </w:pPr>
    </w:p>
    <w:p w14:paraId="2F3DFEE0" w14:textId="77777777" w:rsidR="00740B59" w:rsidRPr="009F1A15" w:rsidRDefault="00740B59" w:rsidP="00C72487">
      <w:pPr>
        <w:spacing w:before="0"/>
        <w:rPr>
          <w:b/>
          <w:sz w:val="24"/>
        </w:rPr>
      </w:pPr>
    </w:p>
    <w:p w14:paraId="571DC29A" w14:textId="77777777" w:rsidR="00607F0A" w:rsidRPr="009F1A15" w:rsidRDefault="00607F0A" w:rsidP="00C72487">
      <w:pPr>
        <w:spacing w:before="0"/>
        <w:rPr>
          <w:b/>
          <w:sz w:val="24"/>
        </w:rPr>
      </w:pPr>
    </w:p>
    <w:p w14:paraId="2BBF5F9E" w14:textId="77777777" w:rsidR="00607F0A" w:rsidRPr="009F1A15" w:rsidRDefault="00607F0A" w:rsidP="00C72487">
      <w:pPr>
        <w:spacing w:before="0"/>
        <w:rPr>
          <w:b/>
          <w:sz w:val="24"/>
        </w:rPr>
      </w:pPr>
    </w:p>
    <w:p w14:paraId="67C409C9" w14:textId="2BB581BF" w:rsidR="00607F0A" w:rsidRPr="009F1A15" w:rsidRDefault="00607F0A" w:rsidP="00C72487">
      <w:pPr>
        <w:pStyle w:val="Paragraphedeliste"/>
        <w:numPr>
          <w:ilvl w:val="0"/>
          <w:numId w:val="3"/>
        </w:numPr>
        <w:spacing w:before="0"/>
        <w:rPr>
          <w:b/>
          <w:sz w:val="24"/>
        </w:rPr>
      </w:pPr>
      <w:r w:rsidRPr="009F1A15">
        <w:rPr>
          <w:b/>
          <w:sz w:val="24"/>
        </w:rPr>
        <w:t>Quel</w:t>
      </w:r>
      <w:r w:rsidR="009F1A15">
        <w:rPr>
          <w:b/>
          <w:sz w:val="24"/>
        </w:rPr>
        <w:t>le</w:t>
      </w:r>
      <w:r w:rsidRPr="009F1A15">
        <w:rPr>
          <w:b/>
          <w:sz w:val="24"/>
        </w:rPr>
        <w:t>s sont les actions qui favorisent l’accueil d’un</w:t>
      </w:r>
      <w:r w:rsidR="00740B59">
        <w:rPr>
          <w:b/>
          <w:sz w:val="24"/>
        </w:rPr>
        <w:t>(e)</w:t>
      </w:r>
      <w:r w:rsidR="009F1A15">
        <w:rPr>
          <w:b/>
          <w:sz w:val="24"/>
        </w:rPr>
        <w:t xml:space="preserve"> salarié</w:t>
      </w:r>
      <w:r w:rsidR="00740B59">
        <w:rPr>
          <w:b/>
          <w:sz w:val="24"/>
        </w:rPr>
        <w:t>(e)</w:t>
      </w:r>
      <w:r w:rsidRPr="009F1A15">
        <w:rPr>
          <w:b/>
          <w:sz w:val="24"/>
        </w:rPr>
        <w:t> ?</w:t>
      </w:r>
    </w:p>
    <w:p w14:paraId="66B8589B" w14:textId="77777777" w:rsidR="00607F0A" w:rsidRPr="00607F0A" w:rsidRDefault="00607F0A" w:rsidP="00C72487">
      <w:pPr>
        <w:rPr>
          <w:sz w:val="24"/>
          <w:lang w:eastAsia="fr-FR"/>
        </w:rPr>
      </w:pPr>
    </w:p>
    <w:p w14:paraId="492C246D" w14:textId="77777777" w:rsidR="00607F0A" w:rsidRDefault="00607F0A" w:rsidP="00607F0A">
      <w:pPr>
        <w:rPr>
          <w:lang w:eastAsia="fr-FR"/>
        </w:rPr>
      </w:pPr>
    </w:p>
    <w:p w14:paraId="3D7E3593" w14:textId="77777777" w:rsidR="007F68A6" w:rsidRDefault="007F68A6"/>
    <w:sectPr w:rsidR="007F68A6" w:rsidSect="00740B59">
      <w:pgSz w:w="11906" w:h="16838"/>
      <w:pgMar w:top="567"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84DD8"/>
    <w:multiLevelType w:val="hybridMultilevel"/>
    <w:tmpl w:val="272C3736"/>
    <w:lvl w:ilvl="0" w:tplc="777AEFCC">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224D2287"/>
    <w:multiLevelType w:val="hybridMultilevel"/>
    <w:tmpl w:val="86D40CA0"/>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4005562"/>
    <w:multiLevelType w:val="hybridMultilevel"/>
    <w:tmpl w:val="B75AA1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32E95922"/>
    <w:multiLevelType w:val="hybridMultilevel"/>
    <w:tmpl w:val="674EA2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8F2B9C"/>
    <w:multiLevelType w:val="hybridMultilevel"/>
    <w:tmpl w:val="03F87EA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725441988">
    <w:abstractNumId w:val="0"/>
  </w:num>
  <w:num w:numId="2" w16cid:durableId="881869818">
    <w:abstractNumId w:val="3"/>
  </w:num>
  <w:num w:numId="3" w16cid:durableId="1625767308">
    <w:abstractNumId w:val="4"/>
  </w:num>
  <w:num w:numId="4" w16cid:durableId="1670674194">
    <w:abstractNumId w:val="2"/>
  </w:num>
  <w:num w:numId="5" w16cid:durableId="1842508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F0A"/>
    <w:rsid w:val="00257444"/>
    <w:rsid w:val="00312F0F"/>
    <w:rsid w:val="003C0FF0"/>
    <w:rsid w:val="004A57E7"/>
    <w:rsid w:val="00525E9A"/>
    <w:rsid w:val="00607F0A"/>
    <w:rsid w:val="006B6303"/>
    <w:rsid w:val="00740B59"/>
    <w:rsid w:val="007F68A6"/>
    <w:rsid w:val="008737DB"/>
    <w:rsid w:val="008B7A8E"/>
    <w:rsid w:val="009F1A15"/>
    <w:rsid w:val="00C72487"/>
    <w:rsid w:val="00EA78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AA0A"/>
  <w15:chartTrackingRefBased/>
  <w15:docId w15:val="{37C134C4-CF2C-47FE-AC19-48EDB546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F0A"/>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607F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607F0A"/>
    <w:pPr>
      <w:spacing w:after="240"/>
      <w:outlineLvl w:val="1"/>
    </w:pPr>
    <w:rPr>
      <w:rFonts w:ascii="Arial" w:hAnsi="Arial"/>
      <w:b/>
      <w:bCs/>
      <w:color w:val="auto"/>
      <w:sz w:val="28"/>
      <w:szCs w:val="28"/>
    </w:rPr>
  </w:style>
  <w:style w:type="paragraph" w:styleId="Titre3">
    <w:name w:val="heading 3"/>
    <w:basedOn w:val="Paragraphedeliste"/>
    <w:next w:val="Normal"/>
    <w:link w:val="Titre3Car"/>
    <w:uiPriority w:val="9"/>
    <w:unhideWhenUsed/>
    <w:qFormat/>
    <w:rsid w:val="00607F0A"/>
    <w:pPr>
      <w:spacing w:before="240"/>
      <w:ind w:left="0"/>
      <w:outlineLvl w:val="2"/>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07F0A"/>
    <w:rPr>
      <w:rFonts w:ascii="Arial" w:eastAsiaTheme="majorEastAsia" w:hAnsi="Arial" w:cstheme="majorBidi"/>
      <w:b/>
      <w:bCs/>
      <w:sz w:val="28"/>
      <w:szCs w:val="28"/>
    </w:rPr>
  </w:style>
  <w:style w:type="character" w:customStyle="1" w:styleId="Titre3Car">
    <w:name w:val="Titre 3 Car"/>
    <w:basedOn w:val="Policepardfaut"/>
    <w:link w:val="Titre3"/>
    <w:uiPriority w:val="9"/>
    <w:rsid w:val="00607F0A"/>
    <w:rPr>
      <w:rFonts w:ascii="Arial" w:eastAsia="Calibri" w:hAnsi="Arial" w:cs="Times New Roman"/>
      <w:b/>
      <w:sz w:val="24"/>
      <w:szCs w:val="24"/>
    </w:rPr>
  </w:style>
  <w:style w:type="paragraph" w:styleId="Paragraphedeliste">
    <w:name w:val="List Paragraph"/>
    <w:basedOn w:val="Normal"/>
    <w:uiPriority w:val="34"/>
    <w:qFormat/>
    <w:rsid w:val="00607F0A"/>
    <w:pPr>
      <w:ind w:left="720"/>
      <w:contextualSpacing/>
    </w:pPr>
  </w:style>
  <w:style w:type="table" w:styleId="Grilledutableau">
    <w:name w:val="Table Grid"/>
    <w:basedOn w:val="TableauNormal"/>
    <w:uiPriority w:val="39"/>
    <w:rsid w:val="00607F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sid w:val="00607F0A"/>
    <w:rPr>
      <w:color w:val="0000FF"/>
      <w:u w:val="single"/>
    </w:rPr>
  </w:style>
  <w:style w:type="character" w:styleId="lev">
    <w:name w:val="Strong"/>
    <w:basedOn w:val="Policepardfaut"/>
    <w:uiPriority w:val="22"/>
    <w:qFormat/>
    <w:rsid w:val="00607F0A"/>
    <w:rPr>
      <w:b/>
      <w:bCs/>
    </w:rPr>
  </w:style>
  <w:style w:type="character" w:customStyle="1" w:styleId="Titre1Car">
    <w:name w:val="Titre 1 Car"/>
    <w:basedOn w:val="Policepardfaut"/>
    <w:link w:val="Titre1"/>
    <w:uiPriority w:val="9"/>
    <w:rsid w:val="00607F0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502</Words>
  <Characters>2767</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2013-09-24T12:50:00Z</dcterms:created>
  <dcterms:modified xsi:type="dcterms:W3CDTF">2024-11-04T16:14:00Z</dcterms:modified>
</cp:coreProperties>
</file>