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23" w:type="dxa"/>
        <w:tblInd w:w="108" w:type="dxa"/>
        <w:shd w:val="clear" w:color="auto" w:fill="FFFF00"/>
        <w:tblLook w:val="04A0" w:firstRow="1" w:lastRow="0" w:firstColumn="1" w:lastColumn="0" w:noHBand="0" w:noVBand="1"/>
      </w:tblPr>
      <w:tblGrid>
        <w:gridCol w:w="1276"/>
        <w:gridCol w:w="7655"/>
        <w:gridCol w:w="992"/>
      </w:tblGrid>
      <w:tr w:rsidR="00136FCD" w:rsidRPr="00FA1A0E" w14:paraId="7183A244" w14:textId="77777777" w:rsidTr="00342F59">
        <w:trPr>
          <w:trHeight w:val="386"/>
        </w:trPr>
        <w:tc>
          <w:tcPr>
            <w:tcW w:w="9923" w:type="dxa"/>
            <w:gridSpan w:val="3"/>
            <w:shd w:val="clear" w:color="auto" w:fill="FFFF00"/>
          </w:tcPr>
          <w:p w14:paraId="6557B9E6" w14:textId="410323B3" w:rsidR="00136FCD" w:rsidRPr="00FA1A0E" w:rsidRDefault="00136FCD" w:rsidP="00342F59">
            <w:pPr>
              <w:pStyle w:val="Titre2"/>
              <w:spacing w:before="120" w:after="120"/>
              <w:jc w:val="center"/>
              <w:rPr>
                <w:rFonts w:ascii="Arial" w:hAnsi="Arial" w:cs="Arial"/>
                <w:sz w:val="28"/>
                <w:szCs w:val="32"/>
              </w:rPr>
            </w:pPr>
            <w:r w:rsidRPr="00FA1A0E">
              <w:rPr>
                <w:rFonts w:ascii="Arial" w:hAnsi="Arial" w:cs="Arial"/>
                <w:sz w:val="28"/>
                <w:szCs w:val="32"/>
              </w:rPr>
              <w:t xml:space="preserve">Réflexion </w:t>
            </w:r>
            <w:r w:rsidR="005B3D33">
              <w:rPr>
                <w:rFonts w:ascii="Arial" w:hAnsi="Arial" w:cs="Arial"/>
                <w:sz w:val="28"/>
                <w:szCs w:val="32"/>
              </w:rPr>
              <w:t>6</w:t>
            </w:r>
            <w:r w:rsidRPr="00FA1A0E">
              <w:rPr>
                <w:rFonts w:ascii="Arial" w:hAnsi="Arial" w:cs="Arial"/>
                <w:sz w:val="28"/>
                <w:szCs w:val="32"/>
              </w:rPr>
              <w:t xml:space="preserve"> – Respecter la parité homme / femme des élus</w:t>
            </w:r>
          </w:p>
        </w:tc>
      </w:tr>
      <w:tr w:rsidR="00136FCD" w:rsidRPr="00EF54C1" w14:paraId="2D2D7334" w14:textId="77777777" w:rsidTr="00342F59">
        <w:trPr>
          <w:trHeight w:val="504"/>
        </w:trPr>
        <w:tc>
          <w:tcPr>
            <w:tcW w:w="1276" w:type="dxa"/>
            <w:shd w:val="clear" w:color="auto" w:fill="FFFF00"/>
            <w:vAlign w:val="center"/>
          </w:tcPr>
          <w:p w14:paraId="61F4F241" w14:textId="77777777" w:rsidR="00136FCD" w:rsidRPr="00EF54C1" w:rsidRDefault="00136FCD" w:rsidP="00342F59">
            <w:r w:rsidRPr="00EF54C1">
              <w:rPr>
                <w:b/>
              </w:rPr>
              <w:t>Durée</w:t>
            </w:r>
            <w:r>
              <w:t xml:space="preserve"> : 20’</w:t>
            </w:r>
          </w:p>
        </w:tc>
        <w:tc>
          <w:tcPr>
            <w:tcW w:w="7655" w:type="dxa"/>
            <w:shd w:val="clear" w:color="auto" w:fill="FFFF00"/>
            <w:vAlign w:val="center"/>
          </w:tcPr>
          <w:p w14:paraId="0CFE82A8" w14:textId="67BE8CE0" w:rsidR="00136FCD" w:rsidRPr="00EF54C1" w:rsidRDefault="00FA1A0E" w:rsidP="00342F59">
            <w:pPr>
              <w:jc w:val="center"/>
            </w:pPr>
            <w:r>
              <w:rPr>
                <w:bCs/>
                <w:noProof/>
              </w:rPr>
              <w:drawing>
                <wp:inline distT="0" distB="0" distL="0" distR="0" wp14:anchorId="142F56A7" wp14:editId="771C0002">
                  <wp:extent cx="324000" cy="324000"/>
                  <wp:effectExtent l="0" t="0" r="0" b="0"/>
                  <wp:docPr id="35" name="Graphique 3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ou</w:t>
            </w:r>
            <w:r>
              <w:rPr>
                <w:bCs/>
                <w:noProof/>
              </w:rPr>
              <w:drawing>
                <wp:inline distT="0" distB="0" distL="0" distR="0" wp14:anchorId="0839478A" wp14:editId="187A2186">
                  <wp:extent cx="360000" cy="360000"/>
                  <wp:effectExtent l="0" t="0" r="0" b="2540"/>
                  <wp:docPr id="36" name="Graphique 3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1AE70EBF" w14:textId="77777777" w:rsidR="00136FCD" w:rsidRPr="00EF54C1" w:rsidRDefault="00136FCD" w:rsidP="00342F59">
            <w:r>
              <w:t>Source</w:t>
            </w:r>
          </w:p>
        </w:tc>
      </w:tr>
    </w:tbl>
    <w:p w14:paraId="5BF931FF" w14:textId="5EFD5A7A" w:rsidR="00136FCD" w:rsidRDefault="00136FCD" w:rsidP="00136FCD">
      <w:pPr>
        <w:rPr>
          <w:bCs/>
        </w:rPr>
      </w:pPr>
    </w:p>
    <w:p w14:paraId="7586339A" w14:textId="77777777" w:rsidR="00FA1A0E" w:rsidRPr="00367EC4" w:rsidRDefault="00FA1A0E" w:rsidP="00FA1A0E">
      <w:pPr>
        <w:spacing w:before="240"/>
        <w:rPr>
          <w:b/>
          <w:sz w:val="24"/>
          <w:szCs w:val="32"/>
        </w:rPr>
      </w:pPr>
      <w:r w:rsidRPr="00367EC4">
        <w:rPr>
          <w:b/>
          <w:sz w:val="24"/>
          <w:szCs w:val="32"/>
        </w:rPr>
        <w:t xml:space="preserve">Travail à faire </w:t>
      </w:r>
    </w:p>
    <w:p w14:paraId="3876832C" w14:textId="77777777" w:rsidR="00FA1A0E" w:rsidRPr="0080367B" w:rsidRDefault="00FA1A0E" w:rsidP="00FA1A0E">
      <w:pPr>
        <w:spacing w:before="120" w:after="120"/>
        <w:rPr>
          <w:bCs/>
        </w:rPr>
      </w:pPr>
      <w:r>
        <w:rPr>
          <w:rFonts w:cs="Arial"/>
          <w:bCs/>
        </w:rPr>
        <w:t xml:space="preserve">Après avoir lu le </w:t>
      </w:r>
      <w:r w:rsidRPr="0022626C">
        <w:rPr>
          <w:rFonts w:cs="Arial"/>
          <w:b/>
        </w:rPr>
        <w:t>doc</w:t>
      </w:r>
      <w:r>
        <w:rPr>
          <w:rFonts w:cs="Arial"/>
          <w:b/>
        </w:rPr>
        <w:t>ument</w:t>
      </w:r>
      <w:r>
        <w:rPr>
          <w:rFonts w:cs="Arial"/>
          <w:bCs/>
        </w:rPr>
        <w:t xml:space="preserve"> </w:t>
      </w:r>
      <w:r w:rsidRPr="0080367B">
        <w:rPr>
          <w:bCs/>
        </w:rPr>
        <w:t>répondez aux questions suivantes :</w:t>
      </w:r>
    </w:p>
    <w:p w14:paraId="3592FBF0" w14:textId="77777777" w:rsidR="00FA1A0E" w:rsidRDefault="00FA1A0E" w:rsidP="00FA1A0E">
      <w:pPr>
        <w:pStyle w:val="Paragraphedeliste"/>
        <w:numPr>
          <w:ilvl w:val="0"/>
          <w:numId w:val="1"/>
        </w:numPr>
        <w:rPr>
          <w:bCs/>
        </w:rPr>
      </w:pPr>
      <w:r>
        <w:rPr>
          <w:bCs/>
        </w:rPr>
        <w:t>Qui propose les listes de candidats ?</w:t>
      </w:r>
    </w:p>
    <w:p w14:paraId="5EAB206F" w14:textId="77777777" w:rsidR="00FA1A0E" w:rsidRDefault="00FA1A0E" w:rsidP="00FA1A0E">
      <w:pPr>
        <w:pStyle w:val="Paragraphedeliste"/>
        <w:numPr>
          <w:ilvl w:val="0"/>
          <w:numId w:val="1"/>
        </w:numPr>
        <w:rPr>
          <w:bCs/>
        </w:rPr>
      </w:pPr>
      <w:r>
        <w:rPr>
          <w:bCs/>
        </w:rPr>
        <w:t>Quelles sont les règles à mettre en œuvre dans l’élaboration d’une liste de candidats ?</w:t>
      </w:r>
    </w:p>
    <w:p w14:paraId="46B3B005" w14:textId="77777777" w:rsidR="00FA1A0E" w:rsidRDefault="00FA1A0E" w:rsidP="00FA1A0E">
      <w:pPr>
        <w:pStyle w:val="Paragraphedeliste"/>
        <w:numPr>
          <w:ilvl w:val="0"/>
          <w:numId w:val="1"/>
        </w:numPr>
        <w:rPr>
          <w:bCs/>
        </w:rPr>
      </w:pPr>
      <w:r>
        <w:rPr>
          <w:bCs/>
        </w:rPr>
        <w:t>Quelle est la conséquence si ces règles ne sont pas respectées ?</w:t>
      </w:r>
    </w:p>
    <w:p w14:paraId="008358B4" w14:textId="77777777" w:rsidR="00FA1A0E" w:rsidRDefault="00FA1A0E" w:rsidP="00FA1A0E">
      <w:pPr>
        <w:pStyle w:val="Paragraphedeliste"/>
        <w:numPr>
          <w:ilvl w:val="0"/>
          <w:numId w:val="1"/>
        </w:numPr>
        <w:rPr>
          <w:bCs/>
        </w:rPr>
      </w:pPr>
      <w:r>
        <w:rPr>
          <w:bCs/>
        </w:rPr>
        <w:t>Quelle est la finalité de ces règles ?</w:t>
      </w:r>
    </w:p>
    <w:p w14:paraId="488645C3" w14:textId="77777777" w:rsidR="00FA1A0E" w:rsidRPr="004E515F" w:rsidRDefault="00FA1A0E" w:rsidP="00136FCD">
      <w:pPr>
        <w:rPr>
          <w:bCs/>
        </w:rPr>
      </w:pPr>
    </w:p>
    <w:p w14:paraId="01FFEF63" w14:textId="77777777" w:rsidR="00136FCD" w:rsidRDefault="00136FCD" w:rsidP="00136FCD">
      <w:pPr>
        <w:rPr>
          <w:rFonts w:cs="Arial"/>
          <w:b/>
        </w:rPr>
      </w:pPr>
    </w:p>
    <w:p w14:paraId="528F6415" w14:textId="24A1F2E4" w:rsidR="00136FCD" w:rsidRPr="00FA1A0E" w:rsidRDefault="00136FCD" w:rsidP="00136FCD">
      <w:pPr>
        <w:rPr>
          <w:b/>
          <w:bCs/>
          <w:sz w:val="24"/>
          <w:szCs w:val="32"/>
        </w:rPr>
      </w:pPr>
      <w:r w:rsidRPr="0080367B">
        <w:rPr>
          <w:rFonts w:cs="Arial"/>
          <w:b/>
          <w:bCs/>
          <w:color w:val="FFFFFF" w:themeColor="background1"/>
          <w:sz w:val="24"/>
          <w:szCs w:val="18"/>
          <w:highlight w:val="red"/>
        </w:rPr>
        <w:t>Doc</w:t>
      </w:r>
      <w:r>
        <w:rPr>
          <w:rFonts w:cs="Arial"/>
          <w:b/>
          <w:bCs/>
          <w:color w:val="FFFFFF" w:themeColor="background1"/>
          <w:sz w:val="24"/>
          <w:szCs w:val="18"/>
          <w:highlight w:val="red"/>
        </w:rPr>
        <w:t xml:space="preserve">. </w:t>
      </w:r>
      <w:r w:rsidR="00FA1A0E">
        <w:rPr>
          <w:rFonts w:cs="Arial"/>
          <w:b/>
          <w:bCs/>
          <w:color w:val="FFFFFF" w:themeColor="background1"/>
          <w:sz w:val="24"/>
          <w:szCs w:val="18"/>
        </w:rPr>
        <w:t xml:space="preserve"> </w:t>
      </w:r>
      <w:r w:rsidRPr="00FA1A0E">
        <w:rPr>
          <w:b/>
          <w:bCs/>
          <w:sz w:val="24"/>
          <w:szCs w:val="32"/>
        </w:rPr>
        <w:t xml:space="preserve">Les règles de parité  </w:t>
      </w:r>
    </w:p>
    <w:p w14:paraId="61FF5F88" w14:textId="77777777" w:rsidR="00136FCD" w:rsidRPr="004E515F" w:rsidRDefault="00136FCD" w:rsidP="00136FCD">
      <w:pPr>
        <w:spacing w:before="120"/>
        <w:rPr>
          <w:rFonts w:cs="Arial"/>
          <w:b/>
          <w:bCs/>
          <w:szCs w:val="20"/>
        </w:rPr>
      </w:pPr>
      <w:r w:rsidRPr="004E515F">
        <w:rPr>
          <w:rFonts w:cs="Arial"/>
          <w:b/>
          <w:bCs/>
          <w:szCs w:val="20"/>
        </w:rPr>
        <w:t>Les listes des candidats aux élections du CSE doivent assurer une représentation équilibrée des femmes et des hommes. Si l'employeur n'est pas acteur dans l'établissement de la liste, il peut en contester les irrégularités.</w:t>
      </w:r>
    </w:p>
    <w:p w14:paraId="1D00D673" w14:textId="77777777" w:rsidR="00136FCD" w:rsidRPr="004E515F" w:rsidRDefault="00136FCD" w:rsidP="00136FCD">
      <w:pPr>
        <w:rPr>
          <w:rFonts w:cs="Arial"/>
          <w:b/>
          <w:bCs/>
          <w:szCs w:val="20"/>
        </w:rPr>
      </w:pPr>
    </w:p>
    <w:p w14:paraId="442FBEC9" w14:textId="77777777" w:rsidR="00136FCD" w:rsidRPr="004E515F" w:rsidRDefault="00136FCD" w:rsidP="00136FCD">
      <w:pPr>
        <w:jc w:val="center"/>
        <w:rPr>
          <w:rFonts w:cs="Arial"/>
          <w:szCs w:val="20"/>
        </w:rPr>
      </w:pPr>
      <w:r w:rsidRPr="004E515F">
        <w:rPr>
          <w:rFonts w:cs="Arial"/>
          <w:b/>
          <w:bCs/>
          <w:szCs w:val="20"/>
        </w:rPr>
        <w:t>Quelles règles s'appliquent ?</w:t>
      </w:r>
    </w:p>
    <w:p w14:paraId="76B70A05" w14:textId="77777777" w:rsidR="00136FCD" w:rsidRPr="004E515F" w:rsidRDefault="00136FCD" w:rsidP="00136FCD">
      <w:pPr>
        <w:pStyle w:val="Paragraphedeliste"/>
        <w:numPr>
          <w:ilvl w:val="0"/>
          <w:numId w:val="2"/>
        </w:numPr>
        <w:spacing w:before="120"/>
        <w:rPr>
          <w:b/>
          <w:bCs/>
        </w:rPr>
      </w:pPr>
      <w:r w:rsidRPr="004E515F">
        <w:rPr>
          <w:b/>
          <w:bCs/>
        </w:rPr>
        <w:t xml:space="preserve">Les listes de candidats aux élections professionnelles, titulaires comme suppléants, doivent refléter la proportion d’hommes et de femmes dans le collège considéré. </w:t>
      </w:r>
    </w:p>
    <w:p w14:paraId="67085C52" w14:textId="77777777" w:rsidR="00136FCD" w:rsidRPr="007337F5" w:rsidRDefault="00136FCD" w:rsidP="00136FCD">
      <w:pPr>
        <w:spacing w:before="120"/>
        <w:rPr>
          <w:rFonts w:cs="Arial"/>
          <w:color w:val="263C46"/>
          <w:szCs w:val="20"/>
        </w:rPr>
      </w:pPr>
      <w:r w:rsidRPr="007337F5">
        <w:rPr>
          <w:rFonts w:cs="Arial"/>
          <w:color w:val="263C46"/>
          <w:szCs w:val="20"/>
        </w:rPr>
        <w:t>Cette règle va s'appliquer aux élections du comité social et économique (CSE) (loi </w:t>
      </w:r>
      <w:hyperlink r:id="rId9" w:tgtFrame="_blank" w:history="1">
        <w:r w:rsidRPr="007337F5">
          <w:rPr>
            <w:rStyle w:val="Lienhypertexte"/>
            <w:rFonts w:cs="Arial"/>
            <w:color w:val="E6184A"/>
            <w:szCs w:val="20"/>
          </w:rPr>
          <w:t>2015-994 </w:t>
        </w:r>
      </w:hyperlink>
      <w:r w:rsidRPr="007337F5">
        <w:rPr>
          <w:rFonts w:cs="Arial"/>
          <w:color w:val="263C46"/>
          <w:szCs w:val="20"/>
        </w:rPr>
        <w:t>du 17 août 2015, art. 7, JO du 18 ; c. trav. </w:t>
      </w:r>
      <w:hyperlink r:id="rId10" w:tgtFrame="_blank" w:history="1">
        <w:r w:rsidRPr="007337F5">
          <w:rPr>
            <w:rStyle w:val="Lienhypertexte"/>
            <w:rFonts w:cs="Arial"/>
            <w:color w:val="E6184A"/>
            <w:szCs w:val="20"/>
          </w:rPr>
          <w:t>art. L. 2314-30</w:t>
        </w:r>
      </w:hyperlink>
      <w:r w:rsidRPr="007337F5">
        <w:rPr>
          <w:rFonts w:cs="Arial"/>
          <w:color w:val="263C46"/>
          <w:szCs w:val="20"/>
        </w:rPr>
        <w:t>). L'objectif est d'assurer une représentation des hommes et des femmes conforme à la répartition des sexes dans l’entreprise.</w:t>
      </w:r>
    </w:p>
    <w:p w14:paraId="46CAB564" w14:textId="77777777" w:rsidR="00136FCD" w:rsidRPr="007337F5" w:rsidRDefault="00136FCD" w:rsidP="00136FCD">
      <w:pPr>
        <w:spacing w:before="120"/>
        <w:rPr>
          <w:rFonts w:cs="Arial"/>
          <w:color w:val="263C46"/>
          <w:szCs w:val="20"/>
        </w:rPr>
      </w:pPr>
      <w:r w:rsidRPr="007337F5">
        <w:rPr>
          <w:rFonts w:cs="Arial"/>
          <w:color w:val="263C46"/>
          <w:szCs w:val="20"/>
        </w:rPr>
        <w:t>Ces règles étant d'ordre public absolu, il est impossible d'y déroger, y compris par le biais du protocole d'accord préélectoral (cass. soc. 9 mai 2018, n° </w:t>
      </w:r>
      <w:r w:rsidRPr="007337F5">
        <w:rPr>
          <w:rStyle w:val="ctreference"/>
          <w:rFonts w:cs="Arial"/>
          <w:color w:val="263C46"/>
          <w:szCs w:val="20"/>
        </w:rPr>
        <w:t>17-60133</w:t>
      </w:r>
      <w:r w:rsidRPr="007337F5">
        <w:rPr>
          <w:rFonts w:cs="Arial"/>
          <w:color w:val="263C46"/>
          <w:szCs w:val="20"/>
        </w:rPr>
        <w:t> FSPB). Peu importe d'ailleurs qu'il n'y ait pas suffisamment de femmes ou d'hommes prêts à se porter candidats (cass. soc. 9 mai 2018, n° </w:t>
      </w:r>
      <w:r w:rsidRPr="007337F5">
        <w:rPr>
          <w:rStyle w:val="ctreference"/>
          <w:rFonts w:cs="Arial"/>
          <w:color w:val="263C46"/>
          <w:szCs w:val="20"/>
        </w:rPr>
        <w:t>17-14569</w:t>
      </w:r>
      <w:r w:rsidRPr="007337F5">
        <w:rPr>
          <w:rFonts w:cs="Arial"/>
          <w:color w:val="263C46"/>
          <w:szCs w:val="20"/>
        </w:rPr>
        <w:t> D).</w:t>
      </w:r>
    </w:p>
    <w:p w14:paraId="699DA3FA" w14:textId="77777777" w:rsidR="00136FCD" w:rsidRPr="007337F5" w:rsidRDefault="00136FCD" w:rsidP="00136FCD">
      <w:pPr>
        <w:spacing w:before="120"/>
        <w:rPr>
          <w:rFonts w:cs="Arial"/>
          <w:color w:val="263C46"/>
          <w:szCs w:val="20"/>
        </w:rPr>
      </w:pPr>
      <w:r w:rsidRPr="007337F5">
        <w:rPr>
          <w:rFonts w:cs="Arial"/>
          <w:color w:val="263C46"/>
          <w:szCs w:val="20"/>
        </w:rPr>
        <w:t>Cela étant, une liste peut être incomplète à partir du moment où elle ne prive pas un sexe de toute représentation. De fait, à partir du moment où 2 sièges sont à pourvoir, une femme et un homme doivent être présentés (cass. soc. 9 mai 2018, n° </w:t>
      </w:r>
      <w:r w:rsidRPr="007337F5">
        <w:rPr>
          <w:rStyle w:val="ctreference"/>
          <w:rFonts w:cs="Arial"/>
          <w:color w:val="263C46"/>
          <w:szCs w:val="20"/>
        </w:rPr>
        <w:t>17-14569</w:t>
      </w:r>
      <w:r w:rsidRPr="007337F5">
        <w:rPr>
          <w:rFonts w:cs="Arial"/>
          <w:color w:val="263C46"/>
          <w:szCs w:val="20"/>
        </w:rPr>
        <w:t> D). Excepté dans l'hypothèse d'un collège exclusivement masculin ou féminin, les candidatures uniques sont donc impossibles car elles reviennent à priver un sexe de candidat aux élections.</w:t>
      </w:r>
    </w:p>
    <w:p w14:paraId="5FA8A82D" w14:textId="77777777" w:rsidR="00136FCD" w:rsidRPr="004E515F" w:rsidRDefault="00136FCD" w:rsidP="00136FCD">
      <w:pPr>
        <w:pStyle w:val="Paragraphedeliste"/>
        <w:numPr>
          <w:ilvl w:val="0"/>
          <w:numId w:val="2"/>
        </w:numPr>
        <w:spacing w:before="120" w:after="120"/>
        <w:rPr>
          <w:rStyle w:val="lev"/>
          <w:rFonts w:cs="Arial"/>
          <w:color w:val="263C46"/>
          <w:szCs w:val="20"/>
        </w:rPr>
      </w:pPr>
      <w:r w:rsidRPr="004E515F">
        <w:rPr>
          <w:rStyle w:val="lev"/>
          <w:rFonts w:cs="Arial"/>
          <w:color w:val="263C46"/>
          <w:szCs w:val="20"/>
        </w:rPr>
        <w:t xml:space="preserve">Alternance femmes/hommes. </w:t>
      </w:r>
    </w:p>
    <w:p w14:paraId="6448B7F0" w14:textId="77777777" w:rsidR="00136FCD" w:rsidRPr="007337F5" w:rsidRDefault="00136FCD" w:rsidP="00136FCD">
      <w:pPr>
        <w:rPr>
          <w:rFonts w:cs="Arial"/>
          <w:color w:val="263C46"/>
          <w:szCs w:val="20"/>
        </w:rPr>
      </w:pPr>
      <w:r w:rsidRPr="007337F5">
        <w:rPr>
          <w:rFonts w:cs="Arial"/>
          <w:color w:val="263C46"/>
          <w:szCs w:val="20"/>
        </w:rPr>
        <w:t>Chaque liste doit être composée alternativement d’un candidat de chaque sexe jusqu’à épuisement des candidats d’un des sexes. L’idée est ici d’éviter que les candidats du sexe sous-représenté soient placés en fin de liste, donc en position non éligible.</w:t>
      </w:r>
    </w:p>
    <w:p w14:paraId="54C55A1D" w14:textId="77777777" w:rsidR="00136FCD" w:rsidRDefault="00136FCD" w:rsidP="00136FCD">
      <w:pPr>
        <w:spacing w:before="120"/>
        <w:rPr>
          <w:rStyle w:val="lev"/>
          <w:rFonts w:cs="Arial"/>
          <w:color w:val="263C46"/>
          <w:szCs w:val="20"/>
        </w:rPr>
      </w:pPr>
    </w:p>
    <w:p w14:paraId="321EE1E7" w14:textId="77777777" w:rsidR="00136FCD" w:rsidRDefault="00136FCD" w:rsidP="00136FCD">
      <w:pPr>
        <w:spacing w:before="120"/>
        <w:rPr>
          <w:rStyle w:val="lev"/>
          <w:rFonts w:cs="Arial"/>
          <w:color w:val="263C46"/>
          <w:szCs w:val="20"/>
        </w:rPr>
      </w:pPr>
      <w:r w:rsidRPr="007337F5">
        <w:rPr>
          <w:rStyle w:val="lev"/>
          <w:rFonts w:cs="Arial"/>
          <w:color w:val="263C46"/>
          <w:szCs w:val="20"/>
        </w:rPr>
        <w:t xml:space="preserve">Rôle de l'employeur dans l'établissement des listes. </w:t>
      </w:r>
    </w:p>
    <w:p w14:paraId="65CD2CD0" w14:textId="77777777" w:rsidR="00136FCD" w:rsidRPr="000059A8" w:rsidRDefault="00136FCD" w:rsidP="00136FCD">
      <w:pPr>
        <w:rPr>
          <w:rFonts w:cs="Arial"/>
          <w:color w:val="263C46"/>
          <w:szCs w:val="20"/>
        </w:rPr>
      </w:pPr>
      <w:r w:rsidRPr="007337F5">
        <w:rPr>
          <w:rStyle w:val="lev"/>
          <w:rFonts w:cs="Arial"/>
          <w:color w:val="263C46"/>
          <w:szCs w:val="20"/>
        </w:rPr>
        <w:t>-</w:t>
      </w:r>
      <w:r w:rsidRPr="007337F5">
        <w:rPr>
          <w:rFonts w:cs="Arial"/>
          <w:color w:val="263C46"/>
          <w:szCs w:val="20"/>
        </w:rPr>
        <w:t> L'employeur ne joue aucun rôle dans l'établissement des listes de candidats contrairement aux listes électorales dont il a la charge. Les listes des candidats aux élections professionnelles du premier tour sont établies par les syndicats invités à négocier le protocole d'accord préélectoral (c. trav. </w:t>
      </w:r>
      <w:hyperlink r:id="rId11" w:tgtFrame="_blank" w:history="1">
        <w:r w:rsidRPr="007337F5">
          <w:rPr>
            <w:rStyle w:val="Lienhypertexte"/>
            <w:rFonts w:cs="Arial"/>
            <w:color w:val="E6184A"/>
            <w:szCs w:val="20"/>
          </w:rPr>
          <w:t>art. L. 2314-29</w:t>
        </w:r>
      </w:hyperlink>
      <w:r w:rsidRPr="007337F5">
        <w:rPr>
          <w:rFonts w:cs="Arial"/>
          <w:color w:val="263C46"/>
          <w:szCs w:val="20"/>
        </w:rPr>
        <w:t>). Au second tour, s'il y en a un, ce monopole disparaît et les candidatures sont libres (cass. soc. 18 janvier 2017, n° </w:t>
      </w:r>
      <w:r w:rsidRPr="007337F5">
        <w:rPr>
          <w:rStyle w:val="ctreference"/>
          <w:rFonts w:cs="Arial"/>
          <w:color w:val="263C46"/>
          <w:szCs w:val="20"/>
        </w:rPr>
        <w:t>15-28884</w:t>
      </w:r>
      <w:r w:rsidRPr="007337F5">
        <w:rPr>
          <w:rFonts w:cs="Arial"/>
          <w:color w:val="263C46"/>
          <w:szCs w:val="20"/>
        </w:rPr>
        <w:t> D</w:t>
      </w:r>
      <w:r w:rsidRPr="007337F5">
        <w:rPr>
          <w:rStyle w:val="ctreference"/>
          <w:rFonts w:cs="Arial"/>
          <w:color w:val="263C46"/>
          <w:szCs w:val="20"/>
        </w:rPr>
        <w:t>)</w:t>
      </w:r>
      <w:r w:rsidRPr="007337F5">
        <w:rPr>
          <w:rFonts w:cs="Arial"/>
          <w:color w:val="263C46"/>
          <w:szCs w:val="20"/>
        </w:rPr>
        <w:t>.</w:t>
      </w:r>
    </w:p>
    <w:p w14:paraId="0B3D15DC" w14:textId="77777777" w:rsidR="00136FCD" w:rsidRDefault="00136FCD" w:rsidP="00136FCD">
      <w:pPr>
        <w:spacing w:before="120"/>
        <w:rPr>
          <w:rFonts w:cs="Arial"/>
          <w:b/>
          <w:bCs/>
          <w:color w:val="E6184A"/>
          <w:szCs w:val="20"/>
        </w:rPr>
      </w:pPr>
    </w:p>
    <w:p w14:paraId="417C5AC9" w14:textId="77777777" w:rsidR="00136FCD" w:rsidRPr="007337F5" w:rsidRDefault="00136FCD" w:rsidP="00136FCD">
      <w:pPr>
        <w:spacing w:before="120"/>
        <w:rPr>
          <w:rFonts w:cs="Arial"/>
          <w:color w:val="E6184A"/>
          <w:szCs w:val="20"/>
        </w:rPr>
      </w:pPr>
      <w:r>
        <w:rPr>
          <w:rFonts w:cs="Arial"/>
          <w:b/>
          <w:bCs/>
          <w:color w:val="E6184A"/>
          <w:szCs w:val="20"/>
        </w:rPr>
        <w:t>C</w:t>
      </w:r>
      <w:r w:rsidRPr="007337F5">
        <w:rPr>
          <w:rFonts w:cs="Arial"/>
          <w:b/>
          <w:bCs/>
          <w:color w:val="E6184A"/>
          <w:szCs w:val="20"/>
        </w:rPr>
        <w:t>onséquences d'un défaut de mixité</w:t>
      </w:r>
    </w:p>
    <w:p w14:paraId="5AB39DE5" w14:textId="77777777" w:rsidR="00136FCD" w:rsidRPr="007337F5" w:rsidRDefault="00136FCD" w:rsidP="00136FCD">
      <w:pPr>
        <w:rPr>
          <w:rFonts w:cs="Arial"/>
          <w:color w:val="263C46"/>
          <w:szCs w:val="20"/>
        </w:rPr>
      </w:pPr>
      <w:r w:rsidRPr="007337F5">
        <w:rPr>
          <w:rStyle w:val="lev"/>
          <w:rFonts w:cs="Arial"/>
          <w:color w:val="263C46"/>
          <w:szCs w:val="20"/>
        </w:rPr>
        <w:t>- </w:t>
      </w:r>
      <w:r w:rsidRPr="007337F5">
        <w:rPr>
          <w:rFonts w:cs="Arial"/>
          <w:color w:val="263C46"/>
          <w:szCs w:val="20"/>
        </w:rPr>
        <w:t>Le non-respect de la règle concernant les proportions équilibrées de femmes et d'hommes sur les listes permettant d'élire les membres du CSE entraîne l'annulation de l'élection d'un nombre d'élus du sexe surreprésenté égal au nombre de candidats du sexe surreprésenté en surnombre (c. trav. </w:t>
      </w:r>
      <w:hyperlink r:id="rId12" w:tgtFrame="_blank" w:history="1">
        <w:r w:rsidRPr="007337F5">
          <w:rPr>
            <w:rStyle w:val="Lienhypertexte"/>
            <w:rFonts w:cs="Arial"/>
            <w:color w:val="E6184A"/>
            <w:szCs w:val="20"/>
          </w:rPr>
          <w:t>art. L. 2314-32</w:t>
        </w:r>
      </w:hyperlink>
      <w:r w:rsidRPr="007337F5">
        <w:rPr>
          <w:rFonts w:cs="Arial"/>
          <w:color w:val="263C46"/>
          <w:szCs w:val="20"/>
        </w:rPr>
        <w:t>).</w:t>
      </w:r>
    </w:p>
    <w:p w14:paraId="37BD41F8" w14:textId="77777777" w:rsidR="00136FCD" w:rsidRDefault="00136FCD" w:rsidP="00136FCD">
      <w:pPr>
        <w:rPr>
          <w:rFonts w:cs="Arial"/>
          <w:b/>
        </w:rPr>
      </w:pPr>
    </w:p>
    <w:p w14:paraId="72989085" w14:textId="77777777" w:rsidR="00136FCD" w:rsidRDefault="00136FCD" w:rsidP="00136FCD">
      <w:r>
        <w:rPr>
          <w:rFonts w:cs="Arial"/>
          <w:b/>
        </w:rPr>
        <w:t xml:space="preserve">Source : </w:t>
      </w:r>
      <w:hyperlink r:id="rId13" w:history="1">
        <w:r>
          <w:rPr>
            <w:rStyle w:val="Lienhypertexte"/>
            <w:rFonts w:eastAsiaTheme="majorEastAsia"/>
          </w:rPr>
          <w:t>Élections professionnelles : répartition des sexes sur les listes de candidats (grouperf.com)</w:t>
        </w:r>
      </w:hyperlink>
    </w:p>
    <w:p w14:paraId="61ED3ED1" w14:textId="77777777" w:rsidR="00136FCD" w:rsidRDefault="00136FCD" w:rsidP="00136FCD"/>
    <w:p w14:paraId="658FC58B" w14:textId="00C637A0" w:rsidR="00136FCD" w:rsidRDefault="00136FCD" w:rsidP="00136FCD"/>
    <w:p w14:paraId="4F50A84D" w14:textId="64556E22" w:rsidR="00FA1A0E" w:rsidRDefault="00FA1A0E" w:rsidP="00136FCD"/>
    <w:p w14:paraId="3C6F03B1" w14:textId="09ED6203" w:rsidR="00FA1A0E" w:rsidRDefault="00FA1A0E" w:rsidP="00136FCD"/>
    <w:p w14:paraId="72D5D638" w14:textId="108806FA" w:rsidR="00FA1A0E" w:rsidRDefault="00FA1A0E" w:rsidP="00136FCD"/>
    <w:p w14:paraId="4D805633" w14:textId="77777777" w:rsidR="00FA1A0E" w:rsidRDefault="00FA1A0E" w:rsidP="00136FCD"/>
    <w:p w14:paraId="2128A39B" w14:textId="48C03904" w:rsidR="00B843BF" w:rsidRDefault="00FA1A0E" w:rsidP="00B843BF">
      <w:pPr>
        <w:spacing w:before="240"/>
        <w:rPr>
          <w:b/>
          <w:sz w:val="24"/>
          <w:szCs w:val="32"/>
        </w:rPr>
      </w:pPr>
      <w:r>
        <w:rPr>
          <w:b/>
          <w:sz w:val="24"/>
          <w:szCs w:val="32"/>
        </w:rPr>
        <w:lastRenderedPageBreak/>
        <w:t>Réponses</w:t>
      </w:r>
    </w:p>
    <w:p w14:paraId="11583A6E" w14:textId="77777777" w:rsidR="00FA1A0E" w:rsidRPr="00367EC4" w:rsidRDefault="00FA1A0E" w:rsidP="00B843BF">
      <w:pPr>
        <w:spacing w:before="240"/>
        <w:rPr>
          <w:b/>
          <w:sz w:val="24"/>
          <w:szCs w:val="32"/>
        </w:rPr>
      </w:pPr>
    </w:p>
    <w:p w14:paraId="747C6F7B" w14:textId="6070A553" w:rsidR="00B843BF" w:rsidRPr="00FA1A0E" w:rsidRDefault="00B843BF" w:rsidP="00FA1A0E">
      <w:pPr>
        <w:pStyle w:val="Paragraphedeliste"/>
        <w:numPr>
          <w:ilvl w:val="0"/>
          <w:numId w:val="3"/>
        </w:numPr>
        <w:ind w:left="360"/>
        <w:rPr>
          <w:bCs/>
          <w:sz w:val="22"/>
          <w:szCs w:val="28"/>
        </w:rPr>
      </w:pPr>
      <w:r w:rsidRPr="00FA1A0E">
        <w:rPr>
          <w:bCs/>
          <w:sz w:val="22"/>
          <w:szCs w:val="28"/>
        </w:rPr>
        <w:t>Qui propose les listes de candidats ?</w:t>
      </w:r>
    </w:p>
    <w:p w14:paraId="5C8349AD" w14:textId="6B20573B" w:rsidR="00B843BF" w:rsidRPr="00FA1A0E" w:rsidRDefault="00B843BF" w:rsidP="00FA1A0E">
      <w:pPr>
        <w:rPr>
          <w:bCs/>
          <w:sz w:val="22"/>
          <w:szCs w:val="28"/>
        </w:rPr>
      </w:pPr>
    </w:p>
    <w:p w14:paraId="52BF52B7" w14:textId="10D5200F" w:rsidR="00B843BF" w:rsidRPr="00FA1A0E" w:rsidRDefault="00B843BF" w:rsidP="00FA1A0E">
      <w:pPr>
        <w:rPr>
          <w:bCs/>
          <w:sz w:val="22"/>
          <w:szCs w:val="28"/>
        </w:rPr>
      </w:pPr>
    </w:p>
    <w:p w14:paraId="5B3B904D" w14:textId="171BC44C" w:rsidR="00B843BF" w:rsidRPr="00FA1A0E" w:rsidRDefault="00B843BF" w:rsidP="00FA1A0E">
      <w:pPr>
        <w:rPr>
          <w:bCs/>
          <w:sz w:val="22"/>
          <w:szCs w:val="28"/>
        </w:rPr>
      </w:pPr>
    </w:p>
    <w:p w14:paraId="1F4667C9" w14:textId="77777777" w:rsidR="00B843BF" w:rsidRPr="00FA1A0E" w:rsidRDefault="00B843BF" w:rsidP="00FA1A0E">
      <w:pPr>
        <w:rPr>
          <w:bCs/>
          <w:sz w:val="22"/>
          <w:szCs w:val="28"/>
        </w:rPr>
      </w:pPr>
    </w:p>
    <w:p w14:paraId="64CDA9C2" w14:textId="6B084B21" w:rsidR="00B843BF" w:rsidRPr="00FA1A0E" w:rsidRDefault="00B843BF" w:rsidP="00FA1A0E">
      <w:pPr>
        <w:pStyle w:val="Paragraphedeliste"/>
        <w:numPr>
          <w:ilvl w:val="0"/>
          <w:numId w:val="3"/>
        </w:numPr>
        <w:ind w:left="360"/>
        <w:rPr>
          <w:bCs/>
          <w:sz w:val="22"/>
          <w:szCs w:val="28"/>
        </w:rPr>
      </w:pPr>
      <w:r w:rsidRPr="00FA1A0E">
        <w:rPr>
          <w:bCs/>
          <w:sz w:val="22"/>
          <w:szCs w:val="28"/>
        </w:rPr>
        <w:t>Quelles sont les règles à mettre en œuvre dans l’élaboration d’une liste de candidats ?</w:t>
      </w:r>
    </w:p>
    <w:p w14:paraId="38372B46" w14:textId="203C59D5" w:rsidR="00B843BF" w:rsidRPr="00FA1A0E" w:rsidRDefault="00B843BF" w:rsidP="00FA1A0E">
      <w:pPr>
        <w:rPr>
          <w:bCs/>
          <w:sz w:val="22"/>
          <w:szCs w:val="28"/>
        </w:rPr>
      </w:pPr>
    </w:p>
    <w:p w14:paraId="464EF8A6" w14:textId="5EA5E1F4" w:rsidR="00B843BF" w:rsidRPr="00FA1A0E" w:rsidRDefault="00B843BF" w:rsidP="00FA1A0E">
      <w:pPr>
        <w:rPr>
          <w:bCs/>
          <w:sz w:val="22"/>
          <w:szCs w:val="28"/>
        </w:rPr>
      </w:pPr>
    </w:p>
    <w:p w14:paraId="1CDA2BD4" w14:textId="78D023DA" w:rsidR="00B843BF" w:rsidRPr="00FA1A0E" w:rsidRDefault="00B843BF" w:rsidP="00FA1A0E">
      <w:pPr>
        <w:rPr>
          <w:bCs/>
          <w:sz w:val="22"/>
          <w:szCs w:val="28"/>
        </w:rPr>
      </w:pPr>
    </w:p>
    <w:p w14:paraId="63FC591B" w14:textId="62F344D6" w:rsidR="00B843BF" w:rsidRPr="00FA1A0E" w:rsidRDefault="00B843BF" w:rsidP="00FA1A0E">
      <w:pPr>
        <w:rPr>
          <w:bCs/>
          <w:sz w:val="22"/>
          <w:szCs w:val="28"/>
        </w:rPr>
      </w:pPr>
    </w:p>
    <w:p w14:paraId="29A4B264" w14:textId="77777777" w:rsidR="00B843BF" w:rsidRPr="00FA1A0E" w:rsidRDefault="00B843BF" w:rsidP="00FA1A0E">
      <w:pPr>
        <w:rPr>
          <w:bCs/>
          <w:sz w:val="22"/>
          <w:szCs w:val="28"/>
        </w:rPr>
      </w:pPr>
    </w:p>
    <w:p w14:paraId="40F65CDB" w14:textId="2E5C6857" w:rsidR="00B843BF" w:rsidRPr="00FA1A0E" w:rsidRDefault="00B843BF" w:rsidP="00FA1A0E">
      <w:pPr>
        <w:pStyle w:val="Paragraphedeliste"/>
        <w:numPr>
          <w:ilvl w:val="0"/>
          <w:numId w:val="3"/>
        </w:numPr>
        <w:ind w:left="360"/>
        <w:rPr>
          <w:bCs/>
          <w:sz w:val="22"/>
          <w:szCs w:val="28"/>
        </w:rPr>
      </w:pPr>
      <w:r w:rsidRPr="00FA1A0E">
        <w:rPr>
          <w:bCs/>
          <w:sz w:val="22"/>
          <w:szCs w:val="28"/>
        </w:rPr>
        <w:t>Quelle est la conséquence si ces règles ne sont pas respectées ?</w:t>
      </w:r>
    </w:p>
    <w:p w14:paraId="2A1BAC6C" w14:textId="2C8C24D2" w:rsidR="00B843BF" w:rsidRPr="00FA1A0E" w:rsidRDefault="00B843BF" w:rsidP="00FA1A0E">
      <w:pPr>
        <w:rPr>
          <w:bCs/>
          <w:sz w:val="22"/>
          <w:szCs w:val="28"/>
        </w:rPr>
      </w:pPr>
    </w:p>
    <w:p w14:paraId="176D6203" w14:textId="5A55B8C6" w:rsidR="00B843BF" w:rsidRPr="00FA1A0E" w:rsidRDefault="00B843BF" w:rsidP="00FA1A0E">
      <w:pPr>
        <w:rPr>
          <w:bCs/>
          <w:sz w:val="22"/>
          <w:szCs w:val="28"/>
        </w:rPr>
      </w:pPr>
    </w:p>
    <w:p w14:paraId="259E59CD" w14:textId="46E7C718" w:rsidR="00B843BF" w:rsidRPr="00FA1A0E" w:rsidRDefault="00B843BF" w:rsidP="00FA1A0E">
      <w:pPr>
        <w:rPr>
          <w:bCs/>
          <w:sz w:val="22"/>
          <w:szCs w:val="28"/>
        </w:rPr>
      </w:pPr>
    </w:p>
    <w:p w14:paraId="44CDB158" w14:textId="22195DB4" w:rsidR="00B843BF" w:rsidRPr="00FA1A0E" w:rsidRDefault="00B843BF" w:rsidP="00FA1A0E">
      <w:pPr>
        <w:rPr>
          <w:bCs/>
          <w:sz w:val="22"/>
          <w:szCs w:val="28"/>
        </w:rPr>
      </w:pPr>
    </w:p>
    <w:p w14:paraId="422C88F9" w14:textId="77777777" w:rsidR="00B843BF" w:rsidRPr="00FA1A0E" w:rsidRDefault="00B843BF" w:rsidP="00FA1A0E">
      <w:pPr>
        <w:rPr>
          <w:bCs/>
          <w:sz w:val="22"/>
          <w:szCs w:val="28"/>
        </w:rPr>
      </w:pPr>
    </w:p>
    <w:p w14:paraId="46550E2E" w14:textId="77777777" w:rsidR="00B843BF" w:rsidRPr="00FA1A0E" w:rsidRDefault="00B843BF" w:rsidP="00FA1A0E">
      <w:pPr>
        <w:pStyle w:val="Paragraphedeliste"/>
        <w:numPr>
          <w:ilvl w:val="0"/>
          <w:numId w:val="3"/>
        </w:numPr>
        <w:ind w:left="360"/>
        <w:rPr>
          <w:bCs/>
          <w:sz w:val="22"/>
          <w:szCs w:val="28"/>
        </w:rPr>
      </w:pPr>
      <w:r w:rsidRPr="00FA1A0E">
        <w:rPr>
          <w:bCs/>
          <w:sz w:val="22"/>
          <w:szCs w:val="28"/>
        </w:rPr>
        <w:t>Quelle est la finalité de ces règles ?</w:t>
      </w:r>
    </w:p>
    <w:p w14:paraId="62E25D78" w14:textId="77777777" w:rsidR="00B843BF" w:rsidRPr="00FA1A0E" w:rsidRDefault="00B843BF" w:rsidP="00FA1A0E">
      <w:pPr>
        <w:rPr>
          <w:sz w:val="22"/>
          <w:szCs w:val="28"/>
        </w:rPr>
      </w:pPr>
    </w:p>
    <w:p w14:paraId="579A5BBB" w14:textId="77777777" w:rsidR="00136FCD" w:rsidRPr="00FA1A0E" w:rsidRDefault="00136FCD" w:rsidP="00FA1A0E">
      <w:pPr>
        <w:rPr>
          <w:sz w:val="22"/>
          <w:szCs w:val="28"/>
        </w:rPr>
      </w:pPr>
    </w:p>
    <w:p w14:paraId="57BE06E6" w14:textId="77777777" w:rsidR="00136FCD" w:rsidRPr="00FA1A0E" w:rsidRDefault="00136FCD" w:rsidP="00FA1A0E">
      <w:pPr>
        <w:rPr>
          <w:sz w:val="22"/>
          <w:szCs w:val="28"/>
        </w:rPr>
      </w:pPr>
    </w:p>
    <w:p w14:paraId="301B89F6" w14:textId="77777777" w:rsidR="00136FCD" w:rsidRPr="00FA1A0E" w:rsidRDefault="00136FCD" w:rsidP="00FA1A0E">
      <w:pPr>
        <w:rPr>
          <w:sz w:val="22"/>
          <w:szCs w:val="28"/>
        </w:rPr>
      </w:pPr>
    </w:p>
    <w:p w14:paraId="2B886521" w14:textId="77777777" w:rsidR="00136FCD" w:rsidRDefault="00136FCD" w:rsidP="00136FCD"/>
    <w:p w14:paraId="2A9C76C2" w14:textId="77777777" w:rsidR="00136FCD" w:rsidRDefault="00136FCD" w:rsidP="00136FCD"/>
    <w:p w14:paraId="6B205766" w14:textId="77777777" w:rsidR="00136FCD" w:rsidRDefault="00136FCD"/>
    <w:sectPr w:rsidR="00136FCD" w:rsidSect="00136FC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B75D5"/>
    <w:multiLevelType w:val="hybridMultilevel"/>
    <w:tmpl w:val="1D0A76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D8C3757"/>
    <w:multiLevelType w:val="hybridMultilevel"/>
    <w:tmpl w:val="A7EE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BF078D"/>
    <w:multiLevelType w:val="hybridMultilevel"/>
    <w:tmpl w:val="A26816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78128107">
    <w:abstractNumId w:val="2"/>
  </w:num>
  <w:num w:numId="2" w16cid:durableId="2141410074">
    <w:abstractNumId w:val="0"/>
  </w:num>
  <w:num w:numId="3" w16cid:durableId="163343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CD"/>
    <w:rsid w:val="00136FCD"/>
    <w:rsid w:val="005B3D33"/>
    <w:rsid w:val="00997B21"/>
    <w:rsid w:val="00B843BF"/>
    <w:rsid w:val="00FA1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421D"/>
  <w15:chartTrackingRefBased/>
  <w15:docId w15:val="{B053AD47-CA1C-41FF-854A-80A22CA1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CD"/>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136F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136FCD"/>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36FCD"/>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136FCD"/>
    <w:pPr>
      <w:ind w:left="720"/>
      <w:contextualSpacing/>
    </w:pPr>
  </w:style>
  <w:style w:type="table" w:styleId="Grilledutableau">
    <w:name w:val="Table Grid"/>
    <w:basedOn w:val="TableauNormal"/>
    <w:uiPriority w:val="39"/>
    <w:rsid w:val="00136F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136FCD"/>
    <w:rPr>
      <w:color w:val="0000FF"/>
      <w:u w:val="single"/>
    </w:rPr>
  </w:style>
  <w:style w:type="character" w:styleId="lev">
    <w:name w:val="Strong"/>
    <w:basedOn w:val="Policepardfaut"/>
    <w:uiPriority w:val="22"/>
    <w:qFormat/>
    <w:rsid w:val="00136FCD"/>
    <w:rPr>
      <w:b/>
      <w:bCs/>
    </w:rPr>
  </w:style>
  <w:style w:type="character" w:customStyle="1" w:styleId="ctreference">
    <w:name w:val="ct_reference"/>
    <w:basedOn w:val="Policepardfaut"/>
    <w:rsid w:val="00136FCD"/>
  </w:style>
  <w:style w:type="character" w:customStyle="1" w:styleId="Titre1Car">
    <w:name w:val="Titre 1 Car"/>
    <w:basedOn w:val="Policepardfaut"/>
    <w:link w:val="Titre1"/>
    <w:uiPriority w:val="9"/>
    <w:rsid w:val="00136FCD"/>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rfsocial.grouperf.com/article/0189/ra/20180803145203037.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fsocial.grouperf.com/lien_spad/?base=LEGI&amp;orig=REVUE_RF_FH&amp;code=LEGITEXT000006072050&amp;numero=L2314-32&amp;idspad=LEGIARTI000035615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rfsocial.grouperf.com/lien_spad/?base=LEGI&amp;orig=REVUE_RF_FH&amp;code=LEGITEXT000006072050&amp;numero=L2314-29&amp;idspad=LEGIARTI000035651029"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fsocial.grouperf.com/lien_spad/?base=LEGI&amp;orig=REVUE_RF_FH&amp;code=LEGITEXT000006072050&amp;numero=L2314-30&amp;idspad=LEGIARTI000035651024" TargetMode="External"/><Relationship Id="rId4" Type="http://schemas.openxmlformats.org/officeDocument/2006/relationships/webSettings" Target="webSettings.xml"/><Relationship Id="rId9" Type="http://schemas.openxmlformats.org/officeDocument/2006/relationships/hyperlink" Target="https://rfsocial.grouperf.com/lien_spad/?base=JORF&amp;orig=REVUE_RF_FH&amp;date=2015-08-17&amp;numero=2015-994%20&amp;etat_initial=JORFTEXT000031046061&amp;etat_maj=LEGITEXT00003105765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3523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2022-09-23T21:12:00Z</dcterms:created>
  <dcterms:modified xsi:type="dcterms:W3CDTF">2024-10-20T22:05:00Z</dcterms:modified>
</cp:coreProperties>
</file>