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23" w:type="dxa"/>
        <w:tblInd w:w="108" w:type="dxa"/>
        <w:shd w:val="clear" w:color="auto" w:fill="FFFF00"/>
        <w:tblLook w:val="04A0" w:firstRow="1" w:lastRow="0" w:firstColumn="1" w:lastColumn="0" w:noHBand="0" w:noVBand="1"/>
      </w:tblPr>
      <w:tblGrid>
        <w:gridCol w:w="1276"/>
        <w:gridCol w:w="7655"/>
        <w:gridCol w:w="992"/>
      </w:tblGrid>
      <w:tr w:rsidR="009C2DB9" w:rsidRPr="000F6C72" w14:paraId="78C9908E" w14:textId="77777777" w:rsidTr="00FD7679">
        <w:trPr>
          <w:trHeight w:val="386"/>
        </w:trPr>
        <w:tc>
          <w:tcPr>
            <w:tcW w:w="9923" w:type="dxa"/>
            <w:gridSpan w:val="3"/>
            <w:shd w:val="clear" w:color="auto" w:fill="FFFF00"/>
          </w:tcPr>
          <w:p w14:paraId="48A4E3F2" w14:textId="77777777" w:rsidR="009C2DB9" w:rsidRPr="000F6C72" w:rsidRDefault="009C2DB9" w:rsidP="00FD7679">
            <w:pPr>
              <w:pStyle w:val="Titre2"/>
              <w:spacing w:before="120" w:after="120"/>
              <w:jc w:val="center"/>
              <w:rPr>
                <w:rFonts w:ascii="Arial" w:hAnsi="Arial" w:cs="Arial"/>
                <w:sz w:val="28"/>
                <w:szCs w:val="32"/>
              </w:rPr>
            </w:pPr>
            <w:r w:rsidRPr="000F6C72">
              <w:rPr>
                <w:rFonts w:ascii="Arial" w:hAnsi="Arial" w:cs="Arial"/>
                <w:sz w:val="28"/>
                <w:szCs w:val="32"/>
              </w:rPr>
              <w:t>Réflexion 4 – Informer le personnel</w:t>
            </w:r>
          </w:p>
        </w:tc>
      </w:tr>
      <w:tr w:rsidR="009C2DB9" w:rsidRPr="00EF54C1" w14:paraId="51BE1E62" w14:textId="77777777" w:rsidTr="00FD7679">
        <w:trPr>
          <w:trHeight w:val="504"/>
        </w:trPr>
        <w:tc>
          <w:tcPr>
            <w:tcW w:w="1276" w:type="dxa"/>
            <w:shd w:val="clear" w:color="auto" w:fill="FFFF00"/>
            <w:vAlign w:val="center"/>
          </w:tcPr>
          <w:p w14:paraId="67BB8906" w14:textId="77777777" w:rsidR="009C2DB9" w:rsidRPr="00EF54C1" w:rsidRDefault="009C2DB9" w:rsidP="00FD7679">
            <w:r w:rsidRPr="00EF54C1">
              <w:rPr>
                <w:b/>
              </w:rPr>
              <w:t>Durée</w:t>
            </w:r>
            <w:r>
              <w:t xml:space="preserve"> : 20’</w:t>
            </w:r>
          </w:p>
        </w:tc>
        <w:tc>
          <w:tcPr>
            <w:tcW w:w="7655" w:type="dxa"/>
            <w:shd w:val="clear" w:color="auto" w:fill="FFFF00"/>
            <w:vAlign w:val="center"/>
          </w:tcPr>
          <w:p w14:paraId="2084ABAF" w14:textId="791DE2E2" w:rsidR="009C2DB9" w:rsidRPr="00EF54C1" w:rsidRDefault="000F6C72" w:rsidP="00FD7679">
            <w:pPr>
              <w:jc w:val="center"/>
            </w:pPr>
            <w:r>
              <w:rPr>
                <w:bCs/>
                <w:noProof/>
              </w:rPr>
              <w:drawing>
                <wp:inline distT="0" distB="0" distL="0" distR="0" wp14:anchorId="0A95F53C" wp14:editId="35EDBF76">
                  <wp:extent cx="324000" cy="324000"/>
                  <wp:effectExtent l="0" t="0" r="0" b="0"/>
                  <wp:docPr id="43" name="Graphique 4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ou</w:t>
            </w:r>
            <w:r>
              <w:rPr>
                <w:bCs/>
                <w:noProof/>
              </w:rPr>
              <w:drawing>
                <wp:inline distT="0" distB="0" distL="0" distR="0" wp14:anchorId="7CD6E256" wp14:editId="5AB60097">
                  <wp:extent cx="360000" cy="360000"/>
                  <wp:effectExtent l="0" t="0" r="0" b="2540"/>
                  <wp:docPr id="44" name="Graphique 4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1CBB1FC2" w14:textId="77777777" w:rsidR="009C2DB9" w:rsidRPr="00EF54C1" w:rsidRDefault="009C2DB9" w:rsidP="00FD7679">
            <w:r>
              <w:t>Source</w:t>
            </w:r>
          </w:p>
        </w:tc>
      </w:tr>
    </w:tbl>
    <w:p w14:paraId="3D7017EF" w14:textId="77777777" w:rsidR="00166971" w:rsidRPr="0037417A" w:rsidRDefault="00166971" w:rsidP="00166971">
      <w:pPr>
        <w:spacing w:before="240"/>
        <w:rPr>
          <w:b/>
          <w:sz w:val="28"/>
          <w:szCs w:val="36"/>
        </w:rPr>
      </w:pPr>
      <w:r w:rsidRPr="0037417A">
        <w:rPr>
          <w:b/>
          <w:sz w:val="28"/>
          <w:szCs w:val="36"/>
        </w:rPr>
        <w:t xml:space="preserve">Travail à faire </w:t>
      </w:r>
    </w:p>
    <w:p w14:paraId="1053085D" w14:textId="77777777" w:rsidR="00166971" w:rsidRPr="00166971" w:rsidRDefault="00166971" w:rsidP="00166971">
      <w:pPr>
        <w:spacing w:before="120" w:after="120"/>
        <w:rPr>
          <w:bCs/>
        </w:rPr>
      </w:pPr>
      <w:r w:rsidRPr="00166971">
        <w:rPr>
          <w:rFonts w:cs="Arial"/>
          <w:bCs/>
        </w:rPr>
        <w:t xml:space="preserve">Après avoir lu les </w:t>
      </w:r>
      <w:r w:rsidRPr="00166971">
        <w:rPr>
          <w:rFonts w:cs="Arial"/>
          <w:b/>
        </w:rPr>
        <w:t>documents 1 et 2</w:t>
      </w:r>
      <w:r w:rsidRPr="00166971">
        <w:rPr>
          <w:rFonts w:cs="Arial"/>
          <w:bCs/>
        </w:rPr>
        <w:t xml:space="preserve"> </w:t>
      </w:r>
      <w:r w:rsidRPr="00166971">
        <w:rPr>
          <w:bCs/>
        </w:rPr>
        <w:t>répondez aux questions suivantes :</w:t>
      </w:r>
    </w:p>
    <w:p w14:paraId="5C7497C6" w14:textId="77777777" w:rsidR="00166971" w:rsidRPr="00166971" w:rsidRDefault="00166971" w:rsidP="00314D70">
      <w:pPr>
        <w:pStyle w:val="Paragraphedeliste"/>
        <w:numPr>
          <w:ilvl w:val="0"/>
          <w:numId w:val="9"/>
        </w:numPr>
        <w:ind w:right="-144"/>
        <w:rPr>
          <w:bCs/>
        </w:rPr>
      </w:pPr>
      <w:r w:rsidRPr="00166971">
        <w:rPr>
          <w:bCs/>
        </w:rPr>
        <w:t>Quelles sont les obligations de l'employeur concernant l'information sur l'égalité des sexes dans l'entreprise ?</w:t>
      </w:r>
    </w:p>
    <w:p w14:paraId="244E7405" w14:textId="77777777" w:rsidR="00166971" w:rsidRPr="00166971" w:rsidRDefault="00166971" w:rsidP="00166971">
      <w:pPr>
        <w:pStyle w:val="Paragraphedeliste"/>
        <w:numPr>
          <w:ilvl w:val="0"/>
          <w:numId w:val="9"/>
        </w:numPr>
        <w:rPr>
          <w:bCs/>
        </w:rPr>
      </w:pPr>
      <w:r w:rsidRPr="00166971">
        <w:rPr>
          <w:bCs/>
        </w:rPr>
        <w:t>L'employeur est-il tenu de communiquer des informations concernant la rémunération des dirigeants ?</w:t>
      </w:r>
    </w:p>
    <w:p w14:paraId="433C5FA8" w14:textId="77777777" w:rsidR="00166971" w:rsidRPr="00166971" w:rsidRDefault="00166971" w:rsidP="00166971">
      <w:pPr>
        <w:pStyle w:val="Paragraphedeliste"/>
        <w:numPr>
          <w:ilvl w:val="0"/>
          <w:numId w:val="9"/>
        </w:numPr>
        <w:rPr>
          <w:bCs/>
        </w:rPr>
      </w:pPr>
      <w:r w:rsidRPr="00166971">
        <w:rPr>
          <w:bCs/>
        </w:rPr>
        <w:t>En quoi consiste l'investissement social ?</w:t>
      </w:r>
    </w:p>
    <w:p w14:paraId="3AD2799A" w14:textId="2DDF7B0E" w:rsidR="00166971" w:rsidRPr="00166971" w:rsidRDefault="00166971" w:rsidP="00166971">
      <w:pPr>
        <w:pStyle w:val="Paragraphedeliste"/>
        <w:numPr>
          <w:ilvl w:val="0"/>
          <w:numId w:val="9"/>
        </w:numPr>
        <w:rPr>
          <w:bCs/>
        </w:rPr>
      </w:pPr>
      <w:r w:rsidRPr="00166971">
        <w:rPr>
          <w:bCs/>
        </w:rPr>
        <w:t xml:space="preserve">L'entreprise est-elle tenue de communiquer des informations sur </w:t>
      </w:r>
      <w:r w:rsidR="00314D70">
        <w:rPr>
          <w:bCs/>
        </w:rPr>
        <w:t>s</w:t>
      </w:r>
      <w:r w:rsidRPr="00166971">
        <w:rPr>
          <w:bCs/>
        </w:rPr>
        <w:t>es partenariats ?</w:t>
      </w:r>
    </w:p>
    <w:p w14:paraId="317F3D2F" w14:textId="77777777" w:rsidR="00166971" w:rsidRPr="00166971" w:rsidRDefault="00166971" w:rsidP="00166971">
      <w:pPr>
        <w:pStyle w:val="Paragraphedeliste"/>
        <w:numPr>
          <w:ilvl w:val="0"/>
          <w:numId w:val="9"/>
        </w:numPr>
        <w:rPr>
          <w:bCs/>
        </w:rPr>
      </w:pPr>
      <w:r w:rsidRPr="00166971">
        <w:rPr>
          <w:bCs/>
        </w:rPr>
        <w:t>Quel est l’intérêt de la BDES pour les délégués du personnel ?</w:t>
      </w:r>
    </w:p>
    <w:p w14:paraId="795B0DD6" w14:textId="77777777" w:rsidR="00166971" w:rsidRPr="00166971" w:rsidRDefault="00166971" w:rsidP="00166971"/>
    <w:p w14:paraId="7B10A099" w14:textId="5783194E" w:rsidR="009C2DB9" w:rsidRPr="00CC5DA2" w:rsidRDefault="009C2DB9" w:rsidP="009C2DB9">
      <w:pPr>
        <w:spacing w:after="120"/>
        <w:outlineLvl w:val="0"/>
        <w:rPr>
          <w:rFonts w:cs="Arial"/>
          <w:b/>
          <w:bCs/>
          <w:color w:val="333333"/>
          <w:sz w:val="28"/>
          <w:szCs w:val="20"/>
        </w:rPr>
      </w:pPr>
      <w:r w:rsidRPr="0080367B">
        <w:rPr>
          <w:rFonts w:cs="Arial"/>
          <w:b/>
          <w:bCs/>
          <w:color w:val="FFFFFF" w:themeColor="background1"/>
          <w:sz w:val="24"/>
          <w:szCs w:val="18"/>
          <w:highlight w:val="red"/>
        </w:rPr>
        <w:t xml:space="preserve">Doc. </w:t>
      </w:r>
      <w:r>
        <w:rPr>
          <w:rFonts w:cs="Arial"/>
          <w:b/>
          <w:bCs/>
          <w:color w:val="FFFFFF" w:themeColor="background1"/>
          <w:sz w:val="24"/>
          <w:szCs w:val="18"/>
          <w:highlight w:val="red"/>
        </w:rPr>
        <w:t>1</w:t>
      </w:r>
      <w:r w:rsidRPr="0080367B">
        <w:rPr>
          <w:rFonts w:cs="Arial"/>
          <w:b/>
          <w:bCs/>
          <w:color w:val="FFFFFF" w:themeColor="background1"/>
          <w:sz w:val="24"/>
          <w:szCs w:val="18"/>
          <w:highlight w:val="red"/>
        </w:rPr>
        <w:t> </w:t>
      </w:r>
      <w:r w:rsidRPr="0080367B">
        <w:rPr>
          <w:rFonts w:cs="Arial"/>
          <w:b/>
          <w:bCs/>
          <w:color w:val="FFFFFF" w:themeColor="background1"/>
          <w:sz w:val="24"/>
          <w:szCs w:val="18"/>
        </w:rPr>
        <w:t xml:space="preserve"> </w:t>
      </w:r>
      <w:r>
        <w:rPr>
          <w:rFonts w:cs="Arial"/>
          <w:b/>
          <w:bCs/>
          <w:color w:val="333333"/>
          <w:sz w:val="28"/>
          <w:szCs w:val="20"/>
        </w:rPr>
        <w:t>La base de données sociale et économique</w:t>
      </w:r>
    </w:p>
    <w:p w14:paraId="47EDFB47" w14:textId="77777777" w:rsidR="009C2DB9" w:rsidRDefault="009C2DB9" w:rsidP="009C2DB9">
      <w:pPr>
        <w:pStyle w:val="NormalWeb"/>
        <w:shd w:val="clear" w:color="auto" w:fill="FFFFFF"/>
        <w:spacing w:before="0" w:beforeAutospacing="0" w:after="0" w:afterAutospacing="0"/>
        <w:rPr>
          <w:rFonts w:cs="Arial"/>
          <w:color w:val="414856"/>
        </w:rPr>
      </w:pPr>
      <w:r>
        <w:rPr>
          <w:rFonts w:cs="Arial"/>
          <w:color w:val="414856"/>
        </w:rPr>
        <w:t>En l'absence d'accord, l'employeur de </w:t>
      </w:r>
      <w:r>
        <w:rPr>
          <w:rStyle w:val="lev"/>
          <w:rFonts w:eastAsia="Calibri" w:cs="Arial"/>
          <w:color w:val="414856"/>
        </w:rPr>
        <w:t>moins de 300 salariés</w:t>
      </w:r>
      <w:r>
        <w:rPr>
          <w:rFonts w:cs="Arial"/>
          <w:color w:val="414856"/>
        </w:rPr>
        <w:t> doit indiquer les informations suivantes :</w:t>
      </w:r>
    </w:p>
    <w:p w14:paraId="0FCDA9A3" w14:textId="77777777" w:rsidR="009C2DB9" w:rsidRDefault="009C2DB9" w:rsidP="009C2DB9">
      <w:pPr>
        <w:numPr>
          <w:ilvl w:val="0"/>
          <w:numId w:val="1"/>
        </w:numPr>
        <w:shd w:val="clear" w:color="auto" w:fill="FFFFFF"/>
        <w:tabs>
          <w:tab w:val="clear" w:pos="360"/>
        </w:tabs>
        <w:spacing w:before="60"/>
        <w:ind w:left="284" w:hanging="284"/>
        <w:jc w:val="left"/>
        <w:rPr>
          <w:rFonts w:cs="Arial"/>
          <w:color w:val="414856"/>
        </w:rPr>
      </w:pPr>
      <w:r>
        <w:rPr>
          <w:rStyle w:val="lev"/>
          <w:rFonts w:eastAsia="Calibri" w:cs="Arial"/>
          <w:color w:val="414856"/>
        </w:rPr>
        <w:t>Investissement social</w:t>
      </w:r>
      <w:r>
        <w:rPr>
          <w:rFonts w:cs="Arial"/>
          <w:color w:val="414856"/>
        </w:rPr>
        <w:t> :</w:t>
      </w:r>
    </w:p>
    <w:p w14:paraId="5FF199B2" w14:textId="77777777" w:rsidR="009C2DB9" w:rsidRPr="00464DFA" w:rsidRDefault="009C2DB9" w:rsidP="009C2DB9">
      <w:pPr>
        <w:numPr>
          <w:ilvl w:val="0"/>
          <w:numId w:val="4"/>
        </w:numPr>
        <w:shd w:val="clear" w:color="auto" w:fill="FFFFFF"/>
        <w:tabs>
          <w:tab w:val="clear" w:pos="360"/>
        </w:tabs>
        <w:ind w:left="284" w:hanging="284"/>
        <w:jc w:val="left"/>
        <w:rPr>
          <w:rFonts w:cs="Arial"/>
          <w:color w:val="414856"/>
        </w:rPr>
      </w:pPr>
      <w:r w:rsidRPr="00464DFA">
        <w:rPr>
          <w:rFonts w:cs="Arial"/>
          <w:color w:val="414856"/>
        </w:rPr>
        <w:t>Évolution des effectifs par type de contrat, par âge, par ancienneté, par mois, par catégorie professionnelle</w:t>
      </w:r>
      <w:r>
        <w:rPr>
          <w:rFonts w:cs="Arial"/>
          <w:color w:val="414856"/>
        </w:rPr>
        <w:t> ;</w:t>
      </w:r>
    </w:p>
    <w:p w14:paraId="52A22671" w14:textId="77777777" w:rsidR="009C2DB9" w:rsidRDefault="009C2DB9" w:rsidP="009C2DB9">
      <w:pPr>
        <w:numPr>
          <w:ilvl w:val="0"/>
          <w:numId w:val="4"/>
        </w:numPr>
        <w:shd w:val="clear" w:color="auto" w:fill="FFFFFF"/>
        <w:tabs>
          <w:tab w:val="clear" w:pos="360"/>
        </w:tabs>
        <w:ind w:left="284" w:hanging="284"/>
        <w:jc w:val="left"/>
        <w:rPr>
          <w:rFonts w:cs="Arial"/>
          <w:color w:val="414856"/>
        </w:rPr>
      </w:pPr>
      <w:r>
        <w:rPr>
          <w:rFonts w:cs="Arial"/>
          <w:color w:val="414856"/>
        </w:rPr>
        <w:t>Évolution de l'emploi des personnes handicapées, du nombre de stagiaires de plus de 16 ans ;</w:t>
      </w:r>
    </w:p>
    <w:p w14:paraId="31A9A2A8" w14:textId="77777777" w:rsidR="009C2DB9" w:rsidRDefault="009C2DB9" w:rsidP="009C2DB9">
      <w:pPr>
        <w:numPr>
          <w:ilvl w:val="0"/>
          <w:numId w:val="4"/>
        </w:numPr>
        <w:shd w:val="clear" w:color="auto" w:fill="FFFFFF"/>
        <w:tabs>
          <w:tab w:val="clear" w:pos="360"/>
        </w:tabs>
        <w:ind w:left="284" w:hanging="284"/>
        <w:jc w:val="left"/>
        <w:rPr>
          <w:rFonts w:cs="Arial"/>
          <w:color w:val="414856"/>
        </w:rPr>
      </w:pPr>
      <w:r>
        <w:rPr>
          <w:rFonts w:cs="Arial"/>
          <w:color w:val="414856"/>
        </w:rPr>
        <w:t>Formation professionnelle : investissements, publics concernés), conditions de travail…</w:t>
      </w:r>
    </w:p>
    <w:p w14:paraId="53D1C632" w14:textId="77777777" w:rsidR="009C2DB9" w:rsidRDefault="009C2DB9" w:rsidP="009C2DB9">
      <w:pPr>
        <w:numPr>
          <w:ilvl w:val="0"/>
          <w:numId w:val="1"/>
        </w:numPr>
        <w:shd w:val="clear" w:color="auto" w:fill="FFFFFF"/>
        <w:spacing w:before="60"/>
        <w:ind w:left="284" w:hanging="284"/>
        <w:jc w:val="left"/>
        <w:rPr>
          <w:rFonts w:cs="Arial"/>
          <w:color w:val="414856"/>
        </w:rPr>
      </w:pPr>
      <w:r>
        <w:rPr>
          <w:rStyle w:val="lev"/>
          <w:rFonts w:eastAsia="Calibri" w:cs="Arial"/>
          <w:color w:val="414856"/>
        </w:rPr>
        <w:t>Investissement matériel et immatériel</w:t>
      </w:r>
      <w:r>
        <w:rPr>
          <w:rFonts w:cs="Arial"/>
          <w:color w:val="414856"/>
        </w:rPr>
        <w:t> :</w:t>
      </w:r>
    </w:p>
    <w:p w14:paraId="31AD4ABA" w14:textId="77777777" w:rsidR="009C2DB9" w:rsidRDefault="009C2DB9" w:rsidP="009C2DB9">
      <w:pPr>
        <w:numPr>
          <w:ilvl w:val="0"/>
          <w:numId w:val="5"/>
        </w:numPr>
        <w:shd w:val="clear" w:color="auto" w:fill="FFFFFF"/>
        <w:tabs>
          <w:tab w:val="clear" w:pos="360"/>
        </w:tabs>
        <w:ind w:left="284" w:hanging="284"/>
        <w:rPr>
          <w:rFonts w:cs="Arial"/>
          <w:color w:val="414856"/>
        </w:rPr>
      </w:pPr>
      <w:r>
        <w:rPr>
          <w:rFonts w:cs="Arial"/>
          <w:color w:val="414856"/>
        </w:rPr>
        <w:t>Évolution des actifs nets d'amortissement et des dépréciations éventuelles (immobilisations) ;</w:t>
      </w:r>
    </w:p>
    <w:p w14:paraId="60187DE3" w14:textId="77777777" w:rsidR="009C2DB9" w:rsidRDefault="009C2DB9" w:rsidP="009C2DB9">
      <w:pPr>
        <w:numPr>
          <w:ilvl w:val="0"/>
          <w:numId w:val="5"/>
        </w:numPr>
        <w:shd w:val="clear" w:color="auto" w:fill="FFFFFF"/>
        <w:tabs>
          <w:tab w:val="clear" w:pos="360"/>
        </w:tabs>
        <w:ind w:left="284" w:hanging="284"/>
        <w:rPr>
          <w:rFonts w:cs="Arial"/>
          <w:color w:val="414856"/>
        </w:rPr>
      </w:pPr>
      <w:r>
        <w:rPr>
          <w:rFonts w:cs="Arial"/>
          <w:color w:val="414856"/>
        </w:rPr>
        <w:t>Dépenses de recherche et développement ;</w:t>
      </w:r>
    </w:p>
    <w:p w14:paraId="26A24FC6" w14:textId="77777777" w:rsidR="009C2DB9" w:rsidRDefault="009C2DB9" w:rsidP="009C2DB9">
      <w:pPr>
        <w:numPr>
          <w:ilvl w:val="0"/>
          <w:numId w:val="5"/>
        </w:numPr>
        <w:shd w:val="clear" w:color="auto" w:fill="FFFFFF"/>
        <w:tabs>
          <w:tab w:val="clear" w:pos="360"/>
        </w:tabs>
        <w:ind w:left="284" w:hanging="284"/>
        <w:rPr>
          <w:rFonts w:cs="Arial"/>
          <w:color w:val="414856"/>
        </w:rPr>
      </w:pPr>
      <w:r>
        <w:rPr>
          <w:rFonts w:cs="Arial"/>
          <w:color w:val="414856"/>
        </w:rPr>
        <w:t>Mesures pour améliorer les méthodes de production et incidences sur les conditions de travail et l'emploi.</w:t>
      </w:r>
    </w:p>
    <w:p w14:paraId="3BDB1E65" w14:textId="77777777" w:rsidR="009C2DB9" w:rsidRDefault="009C2DB9" w:rsidP="009C2DB9">
      <w:pPr>
        <w:numPr>
          <w:ilvl w:val="0"/>
          <w:numId w:val="1"/>
        </w:numPr>
        <w:shd w:val="clear" w:color="auto" w:fill="FFFFFF"/>
        <w:tabs>
          <w:tab w:val="clear" w:pos="360"/>
        </w:tabs>
        <w:spacing w:before="60"/>
        <w:ind w:left="284" w:hanging="284"/>
        <w:rPr>
          <w:rFonts w:cs="Arial"/>
          <w:color w:val="414856"/>
        </w:rPr>
      </w:pPr>
      <w:r>
        <w:rPr>
          <w:rStyle w:val="lev"/>
          <w:rFonts w:eastAsia="Calibri" w:cs="Arial"/>
          <w:color w:val="414856"/>
        </w:rPr>
        <w:t>Égalité professionnelle entre les femmes et les hommes</w:t>
      </w:r>
      <w:r>
        <w:rPr>
          <w:rFonts w:cs="Arial"/>
          <w:color w:val="414856"/>
        </w:rPr>
        <w:t> :</w:t>
      </w:r>
    </w:p>
    <w:p w14:paraId="6029DCC2" w14:textId="77777777" w:rsidR="009C2DB9" w:rsidRDefault="009C2DB9" w:rsidP="009C2DB9">
      <w:pPr>
        <w:numPr>
          <w:ilvl w:val="0"/>
          <w:numId w:val="6"/>
        </w:numPr>
        <w:shd w:val="clear" w:color="auto" w:fill="FFFFFF"/>
        <w:tabs>
          <w:tab w:val="clear" w:pos="360"/>
        </w:tabs>
        <w:ind w:left="284" w:hanging="284"/>
        <w:rPr>
          <w:rFonts w:cs="Arial"/>
          <w:color w:val="414856"/>
        </w:rPr>
      </w:pPr>
      <w:r>
        <w:rPr>
          <w:rFonts w:cs="Arial"/>
          <w:color w:val="414856"/>
        </w:rPr>
        <w:t>Analyse de la situation respective des femmes et des hommes par catégorie professionnelle en matière d'embauche, de formation, de promotion professionnelle, de rémunération et d'articulation entre l'activité professionnelle et la vie personnelle ;</w:t>
      </w:r>
    </w:p>
    <w:p w14:paraId="4106F709" w14:textId="77777777" w:rsidR="009C2DB9" w:rsidRDefault="009C2DB9" w:rsidP="009C2DB9">
      <w:pPr>
        <w:numPr>
          <w:ilvl w:val="0"/>
          <w:numId w:val="6"/>
        </w:numPr>
        <w:shd w:val="clear" w:color="auto" w:fill="FFFFFF"/>
        <w:tabs>
          <w:tab w:val="clear" w:pos="360"/>
        </w:tabs>
        <w:ind w:left="284" w:hanging="284"/>
        <w:rPr>
          <w:rFonts w:cs="Arial"/>
          <w:color w:val="414856"/>
        </w:rPr>
      </w:pPr>
      <w:r>
        <w:rPr>
          <w:rFonts w:cs="Arial"/>
          <w:color w:val="414856"/>
        </w:rPr>
        <w:t>Écarts de salaires et de déroulement de carrière en fonction de l'âge, de la qualification et de l'ancienneté ;</w:t>
      </w:r>
    </w:p>
    <w:p w14:paraId="433FF813" w14:textId="77777777" w:rsidR="009C2DB9" w:rsidRDefault="009C2DB9" w:rsidP="009C2DB9">
      <w:pPr>
        <w:numPr>
          <w:ilvl w:val="0"/>
          <w:numId w:val="6"/>
        </w:numPr>
        <w:shd w:val="clear" w:color="auto" w:fill="FFFFFF"/>
        <w:tabs>
          <w:tab w:val="clear" w:pos="360"/>
        </w:tabs>
        <w:ind w:left="284" w:hanging="284"/>
        <w:rPr>
          <w:rFonts w:cs="Arial"/>
          <w:color w:val="414856"/>
        </w:rPr>
      </w:pPr>
      <w:r>
        <w:rPr>
          <w:rFonts w:cs="Arial"/>
          <w:color w:val="414856"/>
        </w:rPr>
        <w:t>Évolution des taux de promotion respectifs des femmes et des hommes par métiers dans l'entreprise ;</w:t>
      </w:r>
    </w:p>
    <w:p w14:paraId="081CC8A6" w14:textId="77777777" w:rsidR="009C2DB9" w:rsidRPr="005964DB" w:rsidRDefault="009C2DB9" w:rsidP="009C2DB9">
      <w:pPr>
        <w:numPr>
          <w:ilvl w:val="0"/>
          <w:numId w:val="6"/>
        </w:numPr>
        <w:shd w:val="clear" w:color="auto" w:fill="FFFFFF"/>
        <w:tabs>
          <w:tab w:val="clear" w:pos="360"/>
        </w:tabs>
        <w:ind w:left="284" w:hanging="284"/>
        <w:rPr>
          <w:rFonts w:cs="Arial"/>
          <w:color w:val="414856"/>
        </w:rPr>
      </w:pPr>
      <w:r w:rsidRPr="005964DB">
        <w:rPr>
          <w:rFonts w:cs="Arial"/>
          <w:color w:val="414856"/>
        </w:rPr>
        <w:t>Mesures prises en vue d'assurer l'égalité professionnelle, objectifs pour l'année à venir et indicateurs associés</w:t>
      </w:r>
      <w:r>
        <w:rPr>
          <w:rFonts w:cs="Arial"/>
          <w:color w:val="414856"/>
        </w:rPr>
        <w:t>.</w:t>
      </w:r>
    </w:p>
    <w:p w14:paraId="534A3051" w14:textId="77777777" w:rsidR="009C2DB9" w:rsidRPr="005964DB" w:rsidRDefault="009C2DB9" w:rsidP="009C2DB9">
      <w:pPr>
        <w:numPr>
          <w:ilvl w:val="0"/>
          <w:numId w:val="2"/>
        </w:numPr>
        <w:shd w:val="clear" w:color="auto" w:fill="FFFFFF"/>
        <w:tabs>
          <w:tab w:val="clear" w:pos="360"/>
        </w:tabs>
        <w:spacing w:before="60"/>
        <w:ind w:left="284" w:hanging="284"/>
        <w:rPr>
          <w:rFonts w:cs="Arial"/>
          <w:color w:val="414856"/>
        </w:rPr>
      </w:pPr>
      <w:r w:rsidRPr="005964DB">
        <w:rPr>
          <w:rStyle w:val="lev"/>
          <w:rFonts w:eastAsia="Calibri" w:cs="Arial"/>
          <w:color w:val="414856"/>
        </w:rPr>
        <w:t>Fonds propres, endettement et impôts</w:t>
      </w:r>
      <w:r w:rsidRPr="005964DB">
        <w:rPr>
          <w:rFonts w:cs="Arial"/>
          <w:color w:val="414856"/>
        </w:rPr>
        <w:t> : capitaux propres de l'entreprise, emprunts et dettes financières dont échéances et charges financières, impôts et taxes</w:t>
      </w:r>
      <w:r>
        <w:rPr>
          <w:rFonts w:cs="Arial"/>
          <w:color w:val="414856"/>
        </w:rPr>
        <w:t>.</w:t>
      </w:r>
    </w:p>
    <w:p w14:paraId="602C6D1D" w14:textId="77777777" w:rsidR="009C2DB9" w:rsidRPr="005964DB" w:rsidRDefault="009C2DB9" w:rsidP="009C2DB9">
      <w:pPr>
        <w:pStyle w:val="Paragraphedeliste"/>
        <w:numPr>
          <w:ilvl w:val="0"/>
          <w:numId w:val="2"/>
        </w:numPr>
        <w:shd w:val="clear" w:color="auto" w:fill="FFFFFF"/>
        <w:spacing w:before="60"/>
        <w:ind w:left="284" w:hanging="284"/>
        <w:contextualSpacing w:val="0"/>
        <w:rPr>
          <w:rStyle w:val="lev"/>
          <w:rFonts w:eastAsia="Calibri"/>
        </w:rPr>
      </w:pPr>
      <w:r w:rsidRPr="005964DB">
        <w:rPr>
          <w:rStyle w:val="lev"/>
          <w:rFonts w:eastAsia="Calibri" w:cs="Arial"/>
          <w:color w:val="414856"/>
        </w:rPr>
        <w:t>Rémunération</w:t>
      </w:r>
      <w:r w:rsidRPr="005964DB">
        <w:rPr>
          <w:rStyle w:val="lev"/>
          <w:rFonts w:eastAsia="Calibri"/>
        </w:rPr>
        <w:t> des salariés et dirigeants :</w:t>
      </w:r>
    </w:p>
    <w:p w14:paraId="2362DBA3" w14:textId="77777777" w:rsidR="009C2DB9" w:rsidRPr="005964DB" w:rsidRDefault="009C2DB9" w:rsidP="009C2DB9">
      <w:pPr>
        <w:numPr>
          <w:ilvl w:val="0"/>
          <w:numId w:val="7"/>
        </w:numPr>
        <w:shd w:val="clear" w:color="auto" w:fill="FFFFFF"/>
        <w:tabs>
          <w:tab w:val="clear" w:pos="360"/>
        </w:tabs>
        <w:ind w:left="284" w:hanging="284"/>
        <w:rPr>
          <w:rFonts w:cs="Arial"/>
          <w:color w:val="414856"/>
        </w:rPr>
      </w:pPr>
      <w:r w:rsidRPr="005964DB">
        <w:rPr>
          <w:rFonts w:cs="Arial"/>
          <w:color w:val="414856"/>
        </w:rPr>
        <w:t>Évolution des rémunérations salariales</w:t>
      </w:r>
      <w:r>
        <w:rPr>
          <w:rFonts w:cs="Arial"/>
          <w:color w:val="414856"/>
        </w:rPr>
        <w:t xml:space="preserve"> : </w:t>
      </w:r>
      <w:r w:rsidRPr="005964DB">
        <w:rPr>
          <w:rFonts w:cs="Arial"/>
          <w:color w:val="414856"/>
        </w:rPr>
        <w:t>frais de personnel</w:t>
      </w:r>
      <w:r>
        <w:rPr>
          <w:rFonts w:cs="Arial"/>
          <w:color w:val="414856"/>
        </w:rPr>
        <w:t xml:space="preserve">, </w:t>
      </w:r>
      <w:r w:rsidRPr="005964DB">
        <w:rPr>
          <w:rFonts w:cs="Arial"/>
          <w:color w:val="414856"/>
        </w:rPr>
        <w:t>cotisations sociales, évolutions salariales par catégorie et par sexe, salaire de base minimum</w:t>
      </w:r>
      <w:r>
        <w:rPr>
          <w:rFonts w:cs="Arial"/>
          <w:color w:val="414856"/>
        </w:rPr>
        <w:t> ;</w:t>
      </w:r>
    </w:p>
    <w:p w14:paraId="2290B77C" w14:textId="77777777" w:rsidR="009C2DB9" w:rsidRDefault="009C2DB9" w:rsidP="009C2DB9">
      <w:pPr>
        <w:numPr>
          <w:ilvl w:val="0"/>
          <w:numId w:val="7"/>
        </w:numPr>
        <w:shd w:val="clear" w:color="auto" w:fill="FFFFFF"/>
        <w:tabs>
          <w:tab w:val="clear" w:pos="360"/>
        </w:tabs>
        <w:ind w:left="284" w:hanging="284"/>
        <w:rPr>
          <w:rFonts w:cs="Arial"/>
          <w:color w:val="414856"/>
        </w:rPr>
      </w:pPr>
      <w:r>
        <w:rPr>
          <w:rFonts w:cs="Arial"/>
          <w:color w:val="414856"/>
        </w:rPr>
        <w:t xml:space="preserve">Épargne salariale : </w:t>
      </w:r>
      <w:r w:rsidRPr="00464DFA">
        <w:rPr>
          <w:rFonts w:cs="Arial"/>
        </w:rPr>
        <w:t>intéressement</w:t>
      </w:r>
      <w:r>
        <w:rPr>
          <w:rFonts w:cs="Arial"/>
          <w:color w:val="414856"/>
        </w:rPr>
        <w:t>, participation ;</w:t>
      </w:r>
    </w:p>
    <w:p w14:paraId="24DBDD86" w14:textId="77777777" w:rsidR="009C2DB9" w:rsidRDefault="009C2DB9" w:rsidP="009C2DB9">
      <w:pPr>
        <w:numPr>
          <w:ilvl w:val="0"/>
          <w:numId w:val="7"/>
        </w:numPr>
        <w:shd w:val="clear" w:color="auto" w:fill="FFFFFF"/>
        <w:tabs>
          <w:tab w:val="clear" w:pos="360"/>
        </w:tabs>
        <w:ind w:left="284" w:hanging="284"/>
        <w:rPr>
          <w:rFonts w:cs="Arial"/>
          <w:color w:val="414856"/>
        </w:rPr>
      </w:pPr>
      <w:r>
        <w:rPr>
          <w:rFonts w:cs="Arial"/>
          <w:color w:val="414856"/>
        </w:rPr>
        <w:t>Dans les SA de plus de 250 salariés : le montant des rémunérations versées aux 5 ou 10 personnes les mieux rémunérées.</w:t>
      </w:r>
    </w:p>
    <w:p w14:paraId="21CE307A" w14:textId="77777777" w:rsidR="009C2DB9" w:rsidRDefault="009C2DB9" w:rsidP="009C2DB9">
      <w:pPr>
        <w:numPr>
          <w:ilvl w:val="0"/>
          <w:numId w:val="2"/>
        </w:numPr>
        <w:shd w:val="clear" w:color="auto" w:fill="FFFFFF"/>
        <w:spacing w:before="60"/>
        <w:ind w:left="284" w:hanging="284"/>
        <w:rPr>
          <w:rFonts w:cs="Arial"/>
          <w:color w:val="414856"/>
        </w:rPr>
      </w:pPr>
      <w:r>
        <w:rPr>
          <w:rStyle w:val="lev"/>
          <w:rFonts w:eastAsia="Calibri" w:cs="Arial"/>
          <w:color w:val="414856"/>
        </w:rPr>
        <w:t>Activités sociales et culturelles</w:t>
      </w:r>
      <w:r>
        <w:rPr>
          <w:rFonts w:cs="Arial"/>
          <w:color w:val="414856"/>
        </w:rPr>
        <w:t> : montant de la contribution aux activités sociales et culturelles du comité social et économique (CSE), mécénat.</w:t>
      </w:r>
    </w:p>
    <w:p w14:paraId="7E268724" w14:textId="77777777" w:rsidR="009C2DB9" w:rsidRDefault="009C2DB9" w:rsidP="009C2DB9">
      <w:pPr>
        <w:numPr>
          <w:ilvl w:val="0"/>
          <w:numId w:val="2"/>
        </w:numPr>
        <w:shd w:val="clear" w:color="auto" w:fill="FFFFFF"/>
        <w:spacing w:before="60"/>
        <w:ind w:left="284" w:hanging="284"/>
        <w:rPr>
          <w:rFonts w:cs="Arial"/>
          <w:color w:val="414856"/>
        </w:rPr>
      </w:pPr>
      <w:r>
        <w:rPr>
          <w:rStyle w:val="lev"/>
          <w:rFonts w:eastAsia="Calibri" w:cs="Arial"/>
          <w:color w:val="414856"/>
        </w:rPr>
        <w:t>Rémunération des financeurs</w:t>
      </w:r>
      <w:r>
        <w:rPr>
          <w:rFonts w:cs="Arial"/>
          <w:color w:val="414856"/>
        </w:rPr>
        <w:t> : actionnaires (revenus distribués) et actionnariat salarié (montant des actions détenues dans le cadre de l'épargne salariale, part dans le capital, </w:t>
      </w:r>
      <w:r w:rsidRPr="00123716">
        <w:rPr>
          <w:rFonts w:cs="Arial"/>
        </w:rPr>
        <w:t>dividendes</w:t>
      </w:r>
      <w:r>
        <w:rPr>
          <w:rFonts w:cs="Arial"/>
          <w:color w:val="414856"/>
        </w:rPr>
        <w:t> reçus)</w:t>
      </w:r>
    </w:p>
    <w:p w14:paraId="271B7394" w14:textId="77777777" w:rsidR="009C2DB9" w:rsidRDefault="009C2DB9" w:rsidP="009C2DB9">
      <w:pPr>
        <w:numPr>
          <w:ilvl w:val="0"/>
          <w:numId w:val="2"/>
        </w:numPr>
        <w:shd w:val="clear" w:color="auto" w:fill="FFFFFF"/>
        <w:spacing w:before="60"/>
        <w:ind w:left="284" w:hanging="284"/>
        <w:rPr>
          <w:rFonts w:cs="Arial"/>
          <w:color w:val="414856"/>
        </w:rPr>
      </w:pPr>
      <w:r>
        <w:rPr>
          <w:rStyle w:val="lev"/>
          <w:rFonts w:eastAsia="Calibri" w:cs="Arial"/>
          <w:color w:val="414856"/>
        </w:rPr>
        <w:t>Flux financiers</w:t>
      </w:r>
      <w:r>
        <w:rPr>
          <w:rFonts w:cs="Arial"/>
          <w:color w:val="414856"/>
        </w:rPr>
        <w:t> à destination de l'entreprise : aides publiques, exonérations et réductions de cotisations sociales, réductions d'impôts, crédits d'impôts, mécénat, résultats financiers, chiffre d'affaires…</w:t>
      </w:r>
    </w:p>
    <w:p w14:paraId="632DC636" w14:textId="77777777" w:rsidR="009C2DB9" w:rsidRDefault="009C2DB9" w:rsidP="009C2DB9">
      <w:pPr>
        <w:numPr>
          <w:ilvl w:val="0"/>
          <w:numId w:val="2"/>
        </w:numPr>
        <w:shd w:val="clear" w:color="auto" w:fill="FFFFFF"/>
        <w:spacing w:before="60"/>
        <w:ind w:left="284" w:hanging="284"/>
        <w:rPr>
          <w:rFonts w:cs="Arial"/>
          <w:color w:val="414856"/>
        </w:rPr>
      </w:pPr>
      <w:r>
        <w:rPr>
          <w:rStyle w:val="lev"/>
          <w:rFonts w:eastAsia="Calibri" w:cs="Arial"/>
          <w:color w:val="414856"/>
        </w:rPr>
        <w:t>Partenariats</w:t>
      </w:r>
      <w:r>
        <w:rPr>
          <w:rFonts w:cs="Arial"/>
          <w:color w:val="414856"/>
        </w:rPr>
        <w:t> : pour produire ou bénéficier des produits ou services d'une autre entreprise</w:t>
      </w:r>
    </w:p>
    <w:p w14:paraId="6E19F076" w14:textId="77777777" w:rsidR="009C2DB9" w:rsidRDefault="009C2DB9" w:rsidP="009C2DB9">
      <w:pPr>
        <w:numPr>
          <w:ilvl w:val="0"/>
          <w:numId w:val="2"/>
        </w:numPr>
        <w:shd w:val="clear" w:color="auto" w:fill="FFFFFF"/>
        <w:spacing w:before="60"/>
        <w:ind w:left="284" w:hanging="284"/>
        <w:rPr>
          <w:rFonts w:cs="Arial"/>
          <w:color w:val="414856"/>
        </w:rPr>
      </w:pPr>
      <w:r>
        <w:rPr>
          <w:rStyle w:val="lev"/>
          <w:rFonts w:eastAsia="Calibri" w:cs="Arial"/>
          <w:color w:val="414856"/>
        </w:rPr>
        <w:t>Transferts commerciaux et financiers</w:t>
      </w:r>
      <w:r>
        <w:rPr>
          <w:rFonts w:cs="Arial"/>
          <w:color w:val="414856"/>
        </w:rPr>
        <w:t> entre les entités d'un même groupe : transferts de capitaux, cessions, fusions et acquisitions réalisées.</w:t>
      </w:r>
    </w:p>
    <w:p w14:paraId="742ADFD1" w14:textId="77777777" w:rsidR="009C2DB9" w:rsidRDefault="009C2DB9" w:rsidP="009C2DB9">
      <w:pPr>
        <w:rPr>
          <w:rFonts w:cs="Arial"/>
          <w:b/>
        </w:rPr>
      </w:pPr>
    </w:p>
    <w:p w14:paraId="2BD945FE" w14:textId="77777777" w:rsidR="009C2DB9" w:rsidRPr="00464DFA" w:rsidRDefault="009C2DB9" w:rsidP="009C2DB9">
      <w:pPr>
        <w:spacing w:before="120"/>
        <w:rPr>
          <w:rFonts w:cs="Arial"/>
          <w:b/>
          <w:bCs/>
          <w:color w:val="000000" w:themeColor="text1"/>
          <w:sz w:val="24"/>
          <w:szCs w:val="18"/>
        </w:rPr>
      </w:pPr>
      <w:r w:rsidRPr="0080367B">
        <w:rPr>
          <w:rFonts w:cs="Arial"/>
          <w:b/>
          <w:bCs/>
          <w:color w:val="FFFFFF" w:themeColor="background1"/>
          <w:sz w:val="24"/>
          <w:szCs w:val="18"/>
          <w:highlight w:val="red"/>
        </w:rPr>
        <w:t xml:space="preserve">Doc. </w:t>
      </w:r>
      <w:r>
        <w:rPr>
          <w:rFonts w:cs="Arial"/>
          <w:b/>
          <w:bCs/>
          <w:color w:val="FFFFFF" w:themeColor="background1"/>
          <w:sz w:val="24"/>
          <w:szCs w:val="18"/>
          <w:highlight w:val="red"/>
        </w:rPr>
        <w:t>2</w:t>
      </w:r>
      <w:r w:rsidRPr="0080367B">
        <w:rPr>
          <w:rFonts w:cs="Arial"/>
          <w:b/>
          <w:bCs/>
          <w:color w:val="FFFFFF" w:themeColor="background1"/>
          <w:sz w:val="24"/>
          <w:szCs w:val="18"/>
          <w:highlight w:val="red"/>
        </w:rPr>
        <w:t> </w:t>
      </w:r>
      <w:r>
        <w:rPr>
          <w:rFonts w:cs="Arial"/>
          <w:b/>
          <w:bCs/>
          <w:color w:val="FFFFFF" w:themeColor="background1"/>
          <w:sz w:val="24"/>
          <w:szCs w:val="18"/>
        </w:rPr>
        <w:t xml:space="preserve"> </w:t>
      </w:r>
      <w:r>
        <w:rPr>
          <w:rFonts w:cs="Arial"/>
          <w:b/>
          <w:bCs/>
          <w:color w:val="000000" w:themeColor="text1"/>
          <w:sz w:val="24"/>
          <w:szCs w:val="18"/>
        </w:rPr>
        <w:t>À</w:t>
      </w:r>
      <w:r w:rsidRPr="00464DFA">
        <w:rPr>
          <w:rFonts w:cs="Arial"/>
          <w:b/>
          <w:bCs/>
          <w:color w:val="000000" w:themeColor="text1"/>
          <w:sz w:val="24"/>
          <w:szCs w:val="18"/>
        </w:rPr>
        <w:t xml:space="preserve"> quoi sert la  BDES</w:t>
      </w:r>
    </w:p>
    <w:p w14:paraId="495EFEDC" w14:textId="77777777" w:rsidR="009C2DB9" w:rsidRDefault="009C2DB9" w:rsidP="009C2DB9">
      <w:pPr>
        <w:spacing w:before="120"/>
        <w:rPr>
          <w:sz w:val="24"/>
        </w:rPr>
      </w:pPr>
      <w:r>
        <w:t>La BDES sert de support à la consultation annuelle du CSE sur les points suivants :</w:t>
      </w:r>
    </w:p>
    <w:p w14:paraId="5C6412BD" w14:textId="77777777" w:rsidR="009C2DB9" w:rsidRDefault="009C2DB9" w:rsidP="009C2DB9">
      <w:pPr>
        <w:pStyle w:val="Paragraphedeliste"/>
        <w:numPr>
          <w:ilvl w:val="0"/>
          <w:numId w:val="3"/>
        </w:numPr>
        <w:spacing w:before="60"/>
      </w:pPr>
      <w:r>
        <w:t>Orientations stratégiques de l'entreprise ;</w:t>
      </w:r>
    </w:p>
    <w:p w14:paraId="062FCE2E" w14:textId="77777777" w:rsidR="009C2DB9" w:rsidRDefault="009C2DB9" w:rsidP="009C2DB9">
      <w:pPr>
        <w:pStyle w:val="Paragraphedeliste"/>
        <w:numPr>
          <w:ilvl w:val="0"/>
          <w:numId w:val="3"/>
        </w:numPr>
        <w:spacing w:before="120"/>
      </w:pPr>
      <w:r>
        <w:t>Conséquences sur l'activité, l'emploi, l'évolution des métiers et des compétences, la formation profes-sionnelle, l'organisation du travail, le recours à des contrats temporaires et à des stages ;</w:t>
      </w:r>
    </w:p>
    <w:p w14:paraId="7305754D" w14:textId="77777777" w:rsidR="009C2DB9" w:rsidRDefault="009C2DB9" w:rsidP="009C2DB9">
      <w:pPr>
        <w:pStyle w:val="Paragraphedeliste"/>
        <w:numPr>
          <w:ilvl w:val="0"/>
          <w:numId w:val="3"/>
        </w:numPr>
        <w:spacing w:before="120"/>
      </w:pPr>
      <w:r>
        <w:t>Situation et évolution économique et financière de l'entreprise, la modification de son organisation juridique ;</w:t>
      </w:r>
    </w:p>
    <w:p w14:paraId="33720CD3" w14:textId="77777777" w:rsidR="009C2DB9" w:rsidRDefault="009C2DB9" w:rsidP="009C2DB9">
      <w:pPr>
        <w:pStyle w:val="Paragraphedeliste"/>
        <w:numPr>
          <w:ilvl w:val="0"/>
          <w:numId w:val="3"/>
        </w:numPr>
        <w:spacing w:before="120"/>
      </w:pPr>
      <w:r>
        <w:t>Politique sociale de l'entreprise : conditions de travail, santé et sécurité, travailleurs handicapés</w:t>
      </w:r>
    </w:p>
    <w:p w14:paraId="3962CC40" w14:textId="77777777" w:rsidR="009C2DB9" w:rsidRDefault="009C2DB9" w:rsidP="009C2DB9">
      <w:pPr>
        <w:pStyle w:val="Paragraphedeliste"/>
        <w:numPr>
          <w:ilvl w:val="0"/>
          <w:numId w:val="3"/>
        </w:numPr>
        <w:spacing w:before="120"/>
      </w:pPr>
      <w:r>
        <w:t>Déterminer l'organisation, l'architecture et le contenu de la BDES et prévoir les conditions de fonctionnement, le support ainsi que les critères de consultation et d'utilisation de la BDES</w:t>
      </w:r>
    </w:p>
    <w:p w14:paraId="741F27EE" w14:textId="3D3150D1" w:rsidR="0037417A" w:rsidRPr="0037417A" w:rsidRDefault="00166971" w:rsidP="00166971">
      <w:pPr>
        <w:spacing w:before="240" w:after="120"/>
        <w:rPr>
          <w:b/>
          <w:sz w:val="28"/>
          <w:szCs w:val="36"/>
        </w:rPr>
      </w:pPr>
      <w:r>
        <w:rPr>
          <w:b/>
          <w:sz w:val="28"/>
          <w:szCs w:val="36"/>
        </w:rPr>
        <w:lastRenderedPageBreak/>
        <w:t>Réponses</w:t>
      </w:r>
    </w:p>
    <w:p w14:paraId="765CDA06" w14:textId="3A65D834" w:rsidR="0037417A" w:rsidRPr="00166971" w:rsidRDefault="0037417A" w:rsidP="00166971">
      <w:pPr>
        <w:pStyle w:val="Paragraphedeliste"/>
        <w:numPr>
          <w:ilvl w:val="0"/>
          <w:numId w:val="10"/>
        </w:numPr>
        <w:rPr>
          <w:bCs/>
          <w:sz w:val="22"/>
          <w:szCs w:val="28"/>
        </w:rPr>
      </w:pPr>
      <w:r w:rsidRPr="00166971">
        <w:rPr>
          <w:bCs/>
          <w:sz w:val="22"/>
          <w:szCs w:val="28"/>
        </w:rPr>
        <w:t>Quelles sont les obligations de l'employeur concernant l'information sur l'égalité des sexes dans l'entreprise ?</w:t>
      </w:r>
    </w:p>
    <w:p w14:paraId="13B2092A" w14:textId="48FF9C4E" w:rsidR="0037417A" w:rsidRPr="0037417A" w:rsidRDefault="0037417A" w:rsidP="0037417A">
      <w:pPr>
        <w:rPr>
          <w:bCs/>
          <w:sz w:val="22"/>
          <w:szCs w:val="28"/>
        </w:rPr>
      </w:pPr>
    </w:p>
    <w:p w14:paraId="111C2E63" w14:textId="012C3B79" w:rsidR="0037417A" w:rsidRPr="0037417A" w:rsidRDefault="0037417A" w:rsidP="0037417A">
      <w:pPr>
        <w:rPr>
          <w:bCs/>
          <w:sz w:val="22"/>
          <w:szCs w:val="28"/>
        </w:rPr>
      </w:pPr>
    </w:p>
    <w:p w14:paraId="18F24A94" w14:textId="77777777" w:rsidR="0037417A" w:rsidRPr="0037417A" w:rsidRDefault="0037417A" w:rsidP="0037417A">
      <w:pPr>
        <w:rPr>
          <w:bCs/>
          <w:sz w:val="22"/>
          <w:szCs w:val="28"/>
        </w:rPr>
      </w:pPr>
    </w:p>
    <w:p w14:paraId="632517B5" w14:textId="2223DD65" w:rsidR="0037417A" w:rsidRPr="0037417A" w:rsidRDefault="0037417A" w:rsidP="00166971">
      <w:pPr>
        <w:pStyle w:val="Paragraphedeliste"/>
        <w:numPr>
          <w:ilvl w:val="0"/>
          <w:numId w:val="10"/>
        </w:numPr>
        <w:rPr>
          <w:bCs/>
          <w:sz w:val="22"/>
          <w:szCs w:val="28"/>
        </w:rPr>
      </w:pPr>
      <w:r w:rsidRPr="0037417A">
        <w:rPr>
          <w:bCs/>
          <w:sz w:val="22"/>
          <w:szCs w:val="28"/>
        </w:rPr>
        <w:t>L'employeur est-il tenu de communiquer des informations concernant la rémunération des dirigeants ?</w:t>
      </w:r>
    </w:p>
    <w:p w14:paraId="54F13190" w14:textId="5B1EDDAE" w:rsidR="0037417A" w:rsidRPr="0037417A" w:rsidRDefault="0037417A" w:rsidP="0037417A">
      <w:pPr>
        <w:rPr>
          <w:bCs/>
          <w:sz w:val="22"/>
          <w:szCs w:val="28"/>
        </w:rPr>
      </w:pPr>
    </w:p>
    <w:p w14:paraId="4A2B341A" w14:textId="767AA5C1" w:rsidR="0037417A" w:rsidRPr="0037417A" w:rsidRDefault="0037417A" w:rsidP="0037417A">
      <w:pPr>
        <w:rPr>
          <w:bCs/>
          <w:sz w:val="22"/>
          <w:szCs w:val="28"/>
        </w:rPr>
      </w:pPr>
    </w:p>
    <w:p w14:paraId="5A35D4EC" w14:textId="5E364CA8" w:rsidR="0037417A" w:rsidRPr="0037417A" w:rsidRDefault="0037417A" w:rsidP="0037417A">
      <w:pPr>
        <w:rPr>
          <w:bCs/>
          <w:sz w:val="22"/>
          <w:szCs w:val="28"/>
        </w:rPr>
      </w:pPr>
    </w:p>
    <w:p w14:paraId="6427AA96" w14:textId="77777777" w:rsidR="0037417A" w:rsidRPr="0037417A" w:rsidRDefault="0037417A" w:rsidP="0037417A">
      <w:pPr>
        <w:rPr>
          <w:bCs/>
          <w:sz w:val="22"/>
          <w:szCs w:val="28"/>
        </w:rPr>
      </w:pPr>
    </w:p>
    <w:p w14:paraId="210B5A97" w14:textId="60C8295C" w:rsidR="0037417A" w:rsidRPr="0037417A" w:rsidRDefault="0037417A" w:rsidP="00166971">
      <w:pPr>
        <w:pStyle w:val="Paragraphedeliste"/>
        <w:numPr>
          <w:ilvl w:val="0"/>
          <w:numId w:val="10"/>
        </w:numPr>
        <w:rPr>
          <w:bCs/>
          <w:sz w:val="22"/>
          <w:szCs w:val="28"/>
        </w:rPr>
      </w:pPr>
      <w:r w:rsidRPr="0037417A">
        <w:rPr>
          <w:bCs/>
          <w:sz w:val="22"/>
          <w:szCs w:val="28"/>
        </w:rPr>
        <w:t>En quoi consiste l'investissement social ?</w:t>
      </w:r>
    </w:p>
    <w:p w14:paraId="79E7ABB3" w14:textId="50ECA737" w:rsidR="0037417A" w:rsidRPr="0037417A" w:rsidRDefault="0037417A" w:rsidP="0037417A">
      <w:pPr>
        <w:rPr>
          <w:bCs/>
          <w:sz w:val="22"/>
          <w:szCs w:val="28"/>
        </w:rPr>
      </w:pPr>
    </w:p>
    <w:p w14:paraId="21D7CB70" w14:textId="6EA45516" w:rsidR="0037417A" w:rsidRPr="0037417A" w:rsidRDefault="0037417A" w:rsidP="0037417A">
      <w:pPr>
        <w:rPr>
          <w:bCs/>
          <w:sz w:val="22"/>
          <w:szCs w:val="28"/>
        </w:rPr>
      </w:pPr>
    </w:p>
    <w:p w14:paraId="31611F2F" w14:textId="75F62104" w:rsidR="0037417A" w:rsidRPr="0037417A" w:rsidRDefault="0037417A" w:rsidP="0037417A">
      <w:pPr>
        <w:rPr>
          <w:bCs/>
          <w:sz w:val="22"/>
          <w:szCs w:val="28"/>
        </w:rPr>
      </w:pPr>
    </w:p>
    <w:p w14:paraId="7E5D9993" w14:textId="77777777" w:rsidR="0037417A" w:rsidRPr="0037417A" w:rsidRDefault="0037417A" w:rsidP="0037417A">
      <w:pPr>
        <w:rPr>
          <w:bCs/>
          <w:sz w:val="22"/>
          <w:szCs w:val="28"/>
        </w:rPr>
      </w:pPr>
    </w:p>
    <w:p w14:paraId="4B9F128B" w14:textId="37CD5E43" w:rsidR="0037417A" w:rsidRPr="0037417A" w:rsidRDefault="0037417A" w:rsidP="00166971">
      <w:pPr>
        <w:pStyle w:val="Paragraphedeliste"/>
        <w:numPr>
          <w:ilvl w:val="0"/>
          <w:numId w:val="10"/>
        </w:numPr>
        <w:rPr>
          <w:bCs/>
          <w:sz w:val="22"/>
          <w:szCs w:val="28"/>
        </w:rPr>
      </w:pPr>
      <w:r w:rsidRPr="0037417A">
        <w:rPr>
          <w:bCs/>
          <w:sz w:val="22"/>
          <w:szCs w:val="28"/>
        </w:rPr>
        <w:t xml:space="preserve">L'entreprise est-elle tenue de communiquer des informations sur </w:t>
      </w:r>
      <w:r w:rsidR="00314D70">
        <w:rPr>
          <w:bCs/>
          <w:sz w:val="22"/>
          <w:szCs w:val="28"/>
        </w:rPr>
        <w:t>s</w:t>
      </w:r>
      <w:r w:rsidRPr="0037417A">
        <w:rPr>
          <w:bCs/>
          <w:sz w:val="22"/>
          <w:szCs w:val="28"/>
        </w:rPr>
        <w:t>es partenariats ?</w:t>
      </w:r>
    </w:p>
    <w:p w14:paraId="21A1C056" w14:textId="5DC76032" w:rsidR="0037417A" w:rsidRPr="0037417A" w:rsidRDefault="0037417A" w:rsidP="0037417A">
      <w:pPr>
        <w:rPr>
          <w:bCs/>
          <w:sz w:val="22"/>
          <w:szCs w:val="28"/>
        </w:rPr>
      </w:pPr>
    </w:p>
    <w:p w14:paraId="44C243C5" w14:textId="6BAEB2BB" w:rsidR="0037417A" w:rsidRPr="0037417A" w:rsidRDefault="0037417A" w:rsidP="0037417A">
      <w:pPr>
        <w:rPr>
          <w:bCs/>
          <w:sz w:val="22"/>
          <w:szCs w:val="28"/>
        </w:rPr>
      </w:pPr>
    </w:p>
    <w:p w14:paraId="280BABCB" w14:textId="62CA47F6" w:rsidR="0037417A" w:rsidRPr="0037417A" w:rsidRDefault="0037417A" w:rsidP="0037417A">
      <w:pPr>
        <w:rPr>
          <w:bCs/>
          <w:sz w:val="22"/>
          <w:szCs w:val="28"/>
        </w:rPr>
      </w:pPr>
    </w:p>
    <w:p w14:paraId="05379192" w14:textId="3FD8426A" w:rsidR="0037417A" w:rsidRPr="0037417A" w:rsidRDefault="0037417A" w:rsidP="0037417A">
      <w:pPr>
        <w:rPr>
          <w:bCs/>
          <w:sz w:val="22"/>
          <w:szCs w:val="28"/>
        </w:rPr>
      </w:pPr>
    </w:p>
    <w:p w14:paraId="6678B512" w14:textId="77777777" w:rsidR="0037417A" w:rsidRPr="0037417A" w:rsidRDefault="0037417A" w:rsidP="0037417A">
      <w:pPr>
        <w:rPr>
          <w:bCs/>
          <w:sz w:val="22"/>
          <w:szCs w:val="28"/>
        </w:rPr>
      </w:pPr>
    </w:p>
    <w:p w14:paraId="30974779" w14:textId="77777777" w:rsidR="0037417A" w:rsidRPr="0037417A" w:rsidRDefault="0037417A" w:rsidP="00166971">
      <w:pPr>
        <w:pStyle w:val="Paragraphedeliste"/>
        <w:numPr>
          <w:ilvl w:val="0"/>
          <w:numId w:val="10"/>
        </w:numPr>
        <w:rPr>
          <w:bCs/>
          <w:sz w:val="22"/>
          <w:szCs w:val="28"/>
        </w:rPr>
      </w:pPr>
      <w:r w:rsidRPr="0037417A">
        <w:rPr>
          <w:bCs/>
          <w:sz w:val="22"/>
          <w:szCs w:val="28"/>
        </w:rPr>
        <w:t>Quel est l’intérêt de la BDES pour les délégués du personnel ?</w:t>
      </w:r>
    </w:p>
    <w:p w14:paraId="730DD131" w14:textId="77777777" w:rsidR="0037417A" w:rsidRPr="0037417A" w:rsidRDefault="0037417A">
      <w:pPr>
        <w:rPr>
          <w:sz w:val="22"/>
          <w:szCs w:val="28"/>
        </w:rPr>
      </w:pPr>
    </w:p>
    <w:sectPr w:rsidR="0037417A" w:rsidRPr="0037417A" w:rsidSect="00314D7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7DCE"/>
    <w:multiLevelType w:val="multilevel"/>
    <w:tmpl w:val="82D81BC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8E4DE1"/>
    <w:multiLevelType w:val="hybridMultilevel"/>
    <w:tmpl w:val="F00823D2"/>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22D4D12"/>
    <w:multiLevelType w:val="multilevel"/>
    <w:tmpl w:val="E6E44396"/>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163C0A"/>
    <w:multiLevelType w:val="hybridMultilevel"/>
    <w:tmpl w:val="265868AA"/>
    <w:lvl w:ilvl="0" w:tplc="192E5A4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771640B"/>
    <w:multiLevelType w:val="multilevel"/>
    <w:tmpl w:val="82D81BC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C55868"/>
    <w:multiLevelType w:val="hybridMultilevel"/>
    <w:tmpl w:val="9CDE5DF0"/>
    <w:lvl w:ilvl="0" w:tplc="E40E9A5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B8A4F9C"/>
    <w:multiLevelType w:val="multilevel"/>
    <w:tmpl w:val="C1AC61A4"/>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C8D4F3B"/>
    <w:multiLevelType w:val="multilevel"/>
    <w:tmpl w:val="BC78BD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128069A"/>
    <w:multiLevelType w:val="multilevel"/>
    <w:tmpl w:val="DA22D52C"/>
    <w:lvl w:ilvl="0">
      <w:numFmt w:val="bullet"/>
      <w:lvlText w:val="-"/>
      <w:lvlJc w:val="left"/>
      <w:pPr>
        <w:tabs>
          <w:tab w:val="num" w:pos="360"/>
        </w:tabs>
        <w:ind w:left="360" w:hanging="360"/>
      </w:pPr>
      <w:rPr>
        <w:rFonts w:ascii="Arial" w:eastAsia="Times New Roman" w:hAnsi="Arial" w:cs="Arial" w:hint="default"/>
        <w:sz w:val="20"/>
      </w:rPr>
    </w:lvl>
    <w:lvl w:ilvl="1">
      <w:numFmt w:val="bullet"/>
      <w:lvlText w:val="-"/>
      <w:lvlJc w:val="left"/>
      <w:pPr>
        <w:tabs>
          <w:tab w:val="num" w:pos="1080"/>
        </w:tabs>
        <w:ind w:left="1080" w:hanging="360"/>
      </w:pPr>
      <w:rPr>
        <w:rFonts w:ascii="Arial" w:eastAsia="Times New Roman" w:hAnsi="Arial" w:cs="Aria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2EE6498"/>
    <w:multiLevelType w:val="multilevel"/>
    <w:tmpl w:val="CF8254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29335302">
    <w:abstractNumId w:val="7"/>
  </w:num>
  <w:num w:numId="2" w16cid:durableId="1596553729">
    <w:abstractNumId w:val="9"/>
  </w:num>
  <w:num w:numId="3" w16cid:durableId="1335304962">
    <w:abstractNumId w:val="1"/>
  </w:num>
  <w:num w:numId="4" w16cid:durableId="2094546063">
    <w:abstractNumId w:val="2"/>
  </w:num>
  <w:num w:numId="5" w16cid:durableId="2137942945">
    <w:abstractNumId w:val="8"/>
  </w:num>
  <w:num w:numId="6" w16cid:durableId="1890846487">
    <w:abstractNumId w:val="6"/>
  </w:num>
  <w:num w:numId="7" w16cid:durableId="1432235198">
    <w:abstractNumId w:val="0"/>
  </w:num>
  <w:num w:numId="8" w16cid:durableId="931354842">
    <w:abstractNumId w:val="5"/>
  </w:num>
  <w:num w:numId="9" w16cid:durableId="1712730553">
    <w:abstractNumId w:val="3"/>
  </w:num>
  <w:num w:numId="10" w16cid:durableId="2118937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B9"/>
    <w:rsid w:val="000F6C72"/>
    <w:rsid w:val="00166971"/>
    <w:rsid w:val="00314D70"/>
    <w:rsid w:val="0037417A"/>
    <w:rsid w:val="00997B21"/>
    <w:rsid w:val="009C2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2335"/>
  <w15:chartTrackingRefBased/>
  <w15:docId w15:val="{E2E57AD7-B547-4AD6-81C2-203C6C5D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B9"/>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9C2D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9C2DB9"/>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C2DB9"/>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9C2DB9"/>
    <w:pPr>
      <w:ind w:left="720"/>
      <w:contextualSpacing/>
    </w:pPr>
  </w:style>
  <w:style w:type="table" w:styleId="Grilledutableau">
    <w:name w:val="Table Grid"/>
    <w:basedOn w:val="TableauNormal"/>
    <w:uiPriority w:val="39"/>
    <w:rsid w:val="009C2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C2DB9"/>
    <w:pPr>
      <w:spacing w:before="100" w:beforeAutospacing="1" w:after="100" w:afterAutospacing="1"/>
    </w:pPr>
  </w:style>
  <w:style w:type="character" w:styleId="lev">
    <w:name w:val="Strong"/>
    <w:basedOn w:val="Policepardfaut"/>
    <w:uiPriority w:val="22"/>
    <w:qFormat/>
    <w:rsid w:val="009C2DB9"/>
    <w:rPr>
      <w:b/>
      <w:bCs/>
    </w:rPr>
  </w:style>
  <w:style w:type="character" w:customStyle="1" w:styleId="Titre1Car">
    <w:name w:val="Titre 1 Car"/>
    <w:basedOn w:val="Policepardfaut"/>
    <w:link w:val="Titre1"/>
    <w:uiPriority w:val="9"/>
    <w:rsid w:val="009C2DB9"/>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3757</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2021-01-03T19:43:00Z</dcterms:created>
  <dcterms:modified xsi:type="dcterms:W3CDTF">2024-10-20T22:02:00Z</dcterms:modified>
</cp:coreProperties>
</file>