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89" w:type="dxa"/>
        <w:tblInd w:w="-34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60"/>
        <w:gridCol w:w="6662"/>
        <w:gridCol w:w="2167"/>
      </w:tblGrid>
      <w:tr w:rsidR="0097783F" w:rsidRPr="003A4AA4" w14:paraId="5BE4B698" w14:textId="77777777" w:rsidTr="00EA6B31">
        <w:trPr>
          <w:trHeight w:val="504"/>
        </w:trPr>
        <w:tc>
          <w:tcPr>
            <w:tcW w:w="8222" w:type="dxa"/>
            <w:gridSpan w:val="2"/>
            <w:shd w:val="clear" w:color="auto" w:fill="92D050"/>
            <w:vAlign w:val="center"/>
          </w:tcPr>
          <w:p w14:paraId="1C1E48F0" w14:textId="77777777" w:rsidR="0097783F" w:rsidRPr="00EE1614" w:rsidRDefault="0097783F" w:rsidP="00EA6B31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EE1614">
              <w:rPr>
                <w:rFonts w:ascii="Arial" w:hAnsi="Arial" w:cs="Arial"/>
                <w:sz w:val="28"/>
                <w:szCs w:val="32"/>
              </w:rPr>
              <w:t>Mission 3 – Créer un formulaire de collectes des notes de frais</w:t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50E0D1FD" w14:textId="77777777" w:rsidR="0097783F" w:rsidRPr="003A4AA4" w:rsidRDefault="0097783F" w:rsidP="00EA6B31">
            <w:pPr>
              <w:pStyle w:val="Titre2"/>
              <w:spacing w:before="120" w:after="120"/>
              <w:rPr>
                <w:color w:val="000000" w:themeColor="text1"/>
                <w:lang w:val="en-US"/>
              </w:rPr>
            </w:pPr>
            <w:r>
              <w:rPr>
                <w:rFonts w:ascii="Lucida Calligraphy" w:hAnsi="Lucida Calligraphy"/>
                <w:b w:val="0"/>
                <w:i/>
                <w:noProof/>
                <w:sz w:val="20"/>
              </w:rPr>
              <w:drawing>
                <wp:inline distT="0" distB="0" distL="0" distR="0" wp14:anchorId="4B9A43D0" wp14:editId="78285E1F">
                  <wp:extent cx="1264285" cy="433070"/>
                  <wp:effectExtent l="0" t="0" r="0" b="0"/>
                  <wp:docPr id="5" name="Image 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83F" w:rsidRPr="003A4AA4" w14:paraId="262A5A1A" w14:textId="77777777" w:rsidTr="00EA6B31">
        <w:trPr>
          <w:trHeight w:val="504"/>
        </w:trPr>
        <w:tc>
          <w:tcPr>
            <w:tcW w:w="1560" w:type="dxa"/>
            <w:shd w:val="clear" w:color="auto" w:fill="92D050"/>
            <w:vAlign w:val="center"/>
          </w:tcPr>
          <w:p w14:paraId="703DBD55" w14:textId="77777777" w:rsidR="0097783F" w:rsidRPr="003A4AA4" w:rsidRDefault="0097783F" w:rsidP="00EA6B31">
            <w:pPr>
              <w:rPr>
                <w:lang w:val="en-US"/>
              </w:rPr>
            </w:pPr>
            <w:proofErr w:type="gramStart"/>
            <w:r w:rsidRPr="003A4AA4">
              <w:rPr>
                <w:lang w:val="en-US"/>
              </w:rPr>
              <w:t>Durée :</w:t>
            </w:r>
            <w:proofErr w:type="gramEnd"/>
            <w:r w:rsidRPr="003A4AA4">
              <w:rPr>
                <w:lang w:val="en-US"/>
              </w:rPr>
              <w:t xml:space="preserve"> 45</w:t>
            </w:r>
            <w:r>
              <w:rPr>
                <w:lang w:val="en-US"/>
              </w:rPr>
              <w:t>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0B955719" w14:textId="77777777" w:rsidR="0097783F" w:rsidRPr="00332B3F" w:rsidRDefault="0097783F" w:rsidP="00EA6B31">
            <w:pPr>
              <w:jc w:val="center"/>
              <w:rPr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FAFCA1E" wp14:editId="55E9A84E">
                  <wp:extent cx="324000" cy="324000"/>
                  <wp:effectExtent l="0" t="0" r="0" b="0"/>
                  <wp:docPr id="532" name="Graphique 53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7FEA9625" wp14:editId="658EF32A">
                  <wp:extent cx="360000" cy="360000"/>
                  <wp:effectExtent l="0" t="0" r="0" b="2540"/>
                  <wp:docPr id="533" name="Graphique 53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7B3B1F3D" w14:textId="77777777" w:rsidR="0097783F" w:rsidRPr="003A4AA4" w:rsidRDefault="0097783F" w:rsidP="00EA6B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</w:tbl>
    <w:p w14:paraId="41CF637F" w14:textId="77777777" w:rsidR="0097783F" w:rsidRPr="00EB20EA" w:rsidRDefault="0097783F" w:rsidP="0097783F">
      <w:pPr>
        <w:pStyle w:val="Titre3"/>
        <w:spacing w:before="240"/>
        <w:rPr>
          <w:sz w:val="24"/>
          <w:szCs w:val="22"/>
        </w:rPr>
      </w:pPr>
      <w:r w:rsidRPr="00EB20EA">
        <w:rPr>
          <w:sz w:val="24"/>
          <w:szCs w:val="22"/>
        </w:rPr>
        <w:t>Contexte professionnel</w:t>
      </w:r>
    </w:p>
    <w:p w14:paraId="4C28E6FD" w14:textId="77777777" w:rsidR="0097783F" w:rsidRDefault="0097783F" w:rsidP="0097783F">
      <w:pPr>
        <w:spacing w:before="120"/>
        <w:rPr>
          <w:rFonts w:cs="Arial"/>
        </w:rPr>
      </w:pPr>
      <w:r>
        <w:rPr>
          <w:rFonts w:cs="Arial"/>
        </w:rPr>
        <w:t>Á</w:t>
      </w:r>
      <w:r w:rsidRPr="005F41ED">
        <w:rPr>
          <w:rFonts w:cs="Arial"/>
        </w:rPr>
        <w:t xml:space="preserve"> la suite du travail précédent</w:t>
      </w:r>
      <w:r>
        <w:rPr>
          <w:rFonts w:cs="Arial"/>
        </w:rPr>
        <w:t>, M. Waits</w:t>
      </w:r>
      <w:r>
        <w:rPr>
          <w:rFonts w:cs="Arial"/>
          <w:b/>
        </w:rPr>
        <w:t xml:space="preserve">  </w:t>
      </w:r>
      <w:r w:rsidRPr="005F41ED">
        <w:rPr>
          <w:rFonts w:cs="Arial"/>
        </w:rPr>
        <w:t xml:space="preserve">vous demande de </w:t>
      </w:r>
      <w:r>
        <w:rPr>
          <w:rFonts w:cs="Arial"/>
        </w:rPr>
        <w:t>résoudre</w:t>
      </w:r>
      <w:r w:rsidRPr="005F41ED">
        <w:rPr>
          <w:rFonts w:cs="Arial"/>
        </w:rPr>
        <w:t xml:space="preserve"> le problème des frais professionnels.</w:t>
      </w:r>
    </w:p>
    <w:p w14:paraId="5832484F" w14:textId="77777777" w:rsidR="0097783F" w:rsidRPr="005F41ED" w:rsidRDefault="0097783F" w:rsidP="0097783F">
      <w:pPr>
        <w:spacing w:before="120"/>
        <w:rPr>
          <w:rFonts w:cs="Arial"/>
        </w:rPr>
      </w:pPr>
      <w:r>
        <w:rPr>
          <w:rFonts w:cs="Arial"/>
        </w:rPr>
        <w:t>Plusieurs</w:t>
      </w:r>
      <w:r w:rsidRPr="005F41ED">
        <w:rPr>
          <w:rFonts w:cs="Arial"/>
        </w:rPr>
        <w:t xml:space="preserve"> </w:t>
      </w:r>
      <w:r>
        <w:rPr>
          <w:rFonts w:cs="Arial"/>
        </w:rPr>
        <w:t>problèmes</w:t>
      </w:r>
      <w:r w:rsidRPr="005F41ED">
        <w:rPr>
          <w:rFonts w:cs="Arial"/>
        </w:rPr>
        <w:t xml:space="preserve"> sont apparus</w:t>
      </w:r>
      <w:r>
        <w:rPr>
          <w:rFonts w:cs="Arial"/>
        </w:rPr>
        <w:t>.</w:t>
      </w:r>
    </w:p>
    <w:p w14:paraId="1C0CD4B8" w14:textId="77777777" w:rsidR="0097783F" w:rsidRPr="005F41ED" w:rsidRDefault="0097783F" w:rsidP="0097783F">
      <w:pPr>
        <w:pStyle w:val="Paragraphedeliste"/>
        <w:numPr>
          <w:ilvl w:val="0"/>
          <w:numId w:val="1"/>
        </w:numPr>
        <w:ind w:left="284"/>
        <w:rPr>
          <w:rFonts w:cs="Arial"/>
        </w:rPr>
      </w:pPr>
      <w:r w:rsidRPr="005F41ED">
        <w:rPr>
          <w:rFonts w:cs="Arial"/>
        </w:rPr>
        <w:t xml:space="preserve">Les données de paie sont envoyées le 28 de chaque mois à l’expert-comptable. </w:t>
      </w:r>
      <w:r>
        <w:rPr>
          <w:rFonts w:cs="Arial"/>
        </w:rPr>
        <w:t>Or, l</w:t>
      </w:r>
      <w:r w:rsidRPr="005F41ED">
        <w:rPr>
          <w:rFonts w:cs="Arial"/>
        </w:rPr>
        <w:t xml:space="preserve">es commerciaux qui ont des frais à se faire rembourser communiquent trop tard les fiches de remboursement. </w:t>
      </w:r>
    </w:p>
    <w:p w14:paraId="33495E67" w14:textId="77777777" w:rsidR="0097783F" w:rsidRPr="005F41ED" w:rsidRDefault="0097783F" w:rsidP="0097783F">
      <w:pPr>
        <w:pStyle w:val="Paragraphedeliste"/>
        <w:numPr>
          <w:ilvl w:val="0"/>
          <w:numId w:val="1"/>
        </w:numPr>
        <w:ind w:left="284"/>
        <w:rPr>
          <w:rFonts w:cs="Arial"/>
        </w:rPr>
      </w:pPr>
      <w:r w:rsidRPr="005F41ED">
        <w:rPr>
          <w:rFonts w:cs="Arial"/>
        </w:rPr>
        <w:t>Par ailleurs</w:t>
      </w:r>
      <w:r>
        <w:rPr>
          <w:rFonts w:cs="Arial"/>
        </w:rPr>
        <w:t>,</w:t>
      </w:r>
      <w:r w:rsidRPr="005F41ED">
        <w:rPr>
          <w:rFonts w:cs="Arial"/>
        </w:rPr>
        <w:t xml:space="preserve"> les notes et facturettes de frais doivent</w:t>
      </w:r>
      <w:r>
        <w:rPr>
          <w:rFonts w:cs="Arial"/>
        </w:rPr>
        <w:t xml:space="preserve"> être remises en même temps que</w:t>
      </w:r>
      <w:r w:rsidRPr="005F41ED">
        <w:rPr>
          <w:rFonts w:cs="Arial"/>
        </w:rPr>
        <w:t xml:space="preserve"> l’imprimé récapitulatif des frais mensuels. Or</w:t>
      </w:r>
      <w:r>
        <w:rPr>
          <w:rFonts w:cs="Arial"/>
        </w:rPr>
        <w:t>,</w:t>
      </w:r>
      <w:r w:rsidRPr="005F41ED">
        <w:rPr>
          <w:rFonts w:cs="Arial"/>
        </w:rPr>
        <w:t xml:space="preserve"> souvent</w:t>
      </w:r>
      <w:r>
        <w:rPr>
          <w:rFonts w:cs="Arial"/>
        </w:rPr>
        <w:t>,</w:t>
      </w:r>
      <w:r w:rsidRPr="005F41ED">
        <w:rPr>
          <w:rFonts w:cs="Arial"/>
        </w:rPr>
        <w:t xml:space="preserve"> les frais sont inscrits sur l’imprimé mais la note n’est pas jointe</w:t>
      </w:r>
      <w:r>
        <w:rPr>
          <w:rFonts w:cs="Arial"/>
        </w:rPr>
        <w:t>. D</w:t>
      </w:r>
      <w:r w:rsidRPr="005F41ED">
        <w:rPr>
          <w:rFonts w:cs="Arial"/>
        </w:rPr>
        <w:t>ès lors</w:t>
      </w:r>
      <w:r>
        <w:rPr>
          <w:rFonts w:cs="Arial"/>
        </w:rPr>
        <w:t>,</w:t>
      </w:r>
      <w:r w:rsidRPr="005F41ED">
        <w:rPr>
          <w:rFonts w:cs="Arial"/>
        </w:rPr>
        <w:t xml:space="preserve"> ils ne peuvent </w:t>
      </w:r>
      <w:r>
        <w:rPr>
          <w:rFonts w:cs="Arial"/>
        </w:rPr>
        <w:t xml:space="preserve">pas </w:t>
      </w:r>
      <w:r w:rsidRPr="005F41ED">
        <w:rPr>
          <w:rFonts w:cs="Arial"/>
        </w:rPr>
        <w:t xml:space="preserve">être remboursés. </w:t>
      </w:r>
    </w:p>
    <w:p w14:paraId="20B75ACE" w14:textId="77777777" w:rsidR="0097783F" w:rsidRPr="005F41ED" w:rsidRDefault="0097783F" w:rsidP="0097783F">
      <w:pPr>
        <w:pStyle w:val="Paragraphedeliste"/>
        <w:numPr>
          <w:ilvl w:val="0"/>
          <w:numId w:val="1"/>
        </w:numPr>
        <w:ind w:left="284"/>
        <w:rPr>
          <w:rFonts w:cs="Arial"/>
        </w:rPr>
      </w:pPr>
      <w:r w:rsidRPr="005F41ED">
        <w:rPr>
          <w:rFonts w:cs="Arial"/>
        </w:rPr>
        <w:t>La fiche n’identifie pas la ville de départ et la ville d’arrivée, ce qui empêche les contrôles éventuels sur les frais kilométriques.</w:t>
      </w:r>
    </w:p>
    <w:p w14:paraId="35234BF5" w14:textId="77777777" w:rsidR="0097783F" w:rsidRPr="005F41ED" w:rsidRDefault="0097783F" w:rsidP="0097783F">
      <w:pPr>
        <w:pStyle w:val="Paragraphedeliste"/>
        <w:numPr>
          <w:ilvl w:val="0"/>
          <w:numId w:val="1"/>
        </w:numPr>
        <w:ind w:left="284"/>
        <w:rPr>
          <w:rFonts w:cs="Arial"/>
        </w:rPr>
      </w:pPr>
      <w:r w:rsidRPr="005F41ED">
        <w:rPr>
          <w:rFonts w:cs="Arial"/>
        </w:rPr>
        <w:t>Enfin</w:t>
      </w:r>
      <w:r>
        <w:rPr>
          <w:rFonts w:cs="Arial"/>
        </w:rPr>
        <w:t>,</w:t>
      </w:r>
      <w:r w:rsidRPr="005F41ED">
        <w:rPr>
          <w:rFonts w:cs="Arial"/>
        </w:rPr>
        <w:t xml:space="preserve"> les indemnités de déplacement sont calculées à partir des frais de déplacement. Dès lors</w:t>
      </w:r>
      <w:r>
        <w:rPr>
          <w:rFonts w:cs="Arial"/>
        </w:rPr>
        <w:t>,</w:t>
      </w:r>
      <w:r w:rsidRPr="005F41ED">
        <w:rPr>
          <w:rFonts w:cs="Arial"/>
        </w:rPr>
        <w:t xml:space="preserve"> les frais non remboursés ne peuvent générer les indemnités correspondantes.</w:t>
      </w:r>
    </w:p>
    <w:p w14:paraId="2625B58C" w14:textId="77777777" w:rsidR="0097783F" w:rsidRDefault="0097783F" w:rsidP="0097783F">
      <w:pPr>
        <w:rPr>
          <w:rFonts w:cs="Arial"/>
        </w:rPr>
      </w:pPr>
    </w:p>
    <w:p w14:paraId="0FB2708A" w14:textId="77777777" w:rsidR="0097783F" w:rsidRDefault="0097783F" w:rsidP="0097783F">
      <w:pPr>
        <w:rPr>
          <w:rFonts w:cs="Arial"/>
        </w:rPr>
      </w:pPr>
    </w:p>
    <w:p w14:paraId="4B9405D8" w14:textId="77777777" w:rsidR="0097783F" w:rsidRPr="00EB20EA" w:rsidRDefault="0097783F" w:rsidP="0097783F">
      <w:pPr>
        <w:rPr>
          <w:rFonts w:cs="Arial"/>
          <w:b/>
          <w:bCs/>
          <w:sz w:val="24"/>
          <w:szCs w:val="32"/>
        </w:rPr>
      </w:pPr>
      <w:r w:rsidRPr="00EB20EA">
        <w:rPr>
          <w:rFonts w:cs="Arial"/>
          <w:b/>
          <w:bCs/>
          <w:sz w:val="24"/>
          <w:szCs w:val="32"/>
        </w:rPr>
        <w:t>Travail à faire</w:t>
      </w:r>
    </w:p>
    <w:p w14:paraId="08B113A7" w14:textId="77777777" w:rsidR="0097783F" w:rsidRPr="00F57686" w:rsidRDefault="0097783F" w:rsidP="0097783F">
      <w:pPr>
        <w:pStyle w:val="Paragraphedeliste"/>
        <w:numPr>
          <w:ilvl w:val="0"/>
          <w:numId w:val="2"/>
        </w:numPr>
        <w:spacing w:before="240"/>
        <w:rPr>
          <w:rFonts w:cs="Arial"/>
          <w:bCs/>
        </w:rPr>
      </w:pPr>
      <w:bookmarkStart w:id="0" w:name="_Travail_2_–"/>
      <w:bookmarkEnd w:id="0"/>
      <w:r>
        <w:rPr>
          <w:rFonts w:cs="Arial"/>
          <w:bCs/>
        </w:rPr>
        <w:t xml:space="preserve">M. Waits </w:t>
      </w:r>
      <w:r w:rsidRPr="00F57686">
        <w:rPr>
          <w:rFonts w:cs="Arial"/>
          <w:bCs/>
        </w:rPr>
        <w:t>propose de remplacer les fiches récapitulatives mensuelles par une fiche hebdomadaire qui permettra un meilleur suivi des frais et des oublis de facturettes. Concev</w:t>
      </w:r>
      <w:r>
        <w:rPr>
          <w:rFonts w:cs="Arial"/>
          <w:bCs/>
        </w:rPr>
        <w:t>ez</w:t>
      </w:r>
      <w:r w:rsidRPr="00F57686">
        <w:rPr>
          <w:rFonts w:cs="Arial"/>
          <w:bCs/>
        </w:rPr>
        <w:t xml:space="preserve"> un formulaire de collecte des frais hebdomadaires de déplacement </w:t>
      </w:r>
      <w:r>
        <w:rPr>
          <w:rFonts w:cs="Arial"/>
          <w:bCs/>
        </w:rPr>
        <w:t xml:space="preserve">et de </w:t>
      </w:r>
      <w:r w:rsidRPr="00F57686">
        <w:rPr>
          <w:rFonts w:cs="Arial"/>
          <w:bCs/>
        </w:rPr>
        <w:t>restaurant</w:t>
      </w:r>
      <w:r>
        <w:rPr>
          <w:rFonts w:cs="Arial"/>
          <w:bCs/>
        </w:rPr>
        <w:t>.</w:t>
      </w:r>
    </w:p>
    <w:p w14:paraId="0C4B9B87" w14:textId="77777777" w:rsidR="0097783F" w:rsidRPr="00F57686" w:rsidRDefault="0097783F" w:rsidP="0097783F">
      <w:pPr>
        <w:pStyle w:val="Paragraphedeliste"/>
        <w:numPr>
          <w:ilvl w:val="0"/>
          <w:numId w:val="2"/>
        </w:numPr>
        <w:rPr>
          <w:rFonts w:cs="Arial"/>
          <w:bCs/>
        </w:rPr>
      </w:pPr>
      <w:r w:rsidRPr="00F57686">
        <w:rPr>
          <w:rFonts w:cs="Arial"/>
          <w:bCs/>
        </w:rPr>
        <w:t>Concev</w:t>
      </w:r>
      <w:r>
        <w:rPr>
          <w:rFonts w:cs="Arial"/>
          <w:bCs/>
        </w:rPr>
        <w:t>ez</w:t>
      </w:r>
      <w:r w:rsidRPr="00F57686">
        <w:rPr>
          <w:rFonts w:cs="Arial"/>
          <w:bCs/>
        </w:rPr>
        <w:t xml:space="preserve"> la note de service qui sera remise aux commerciaux.</w:t>
      </w:r>
    </w:p>
    <w:p w14:paraId="57B26799" w14:textId="77777777" w:rsidR="001B014B" w:rsidRPr="0097783F" w:rsidRDefault="001B014B" w:rsidP="0097783F"/>
    <w:sectPr w:rsidR="001B014B" w:rsidRPr="0097783F" w:rsidSect="008D744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3478"/>
    <w:multiLevelType w:val="hybridMultilevel"/>
    <w:tmpl w:val="254E9B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92F57"/>
    <w:multiLevelType w:val="hybridMultilevel"/>
    <w:tmpl w:val="B49EA2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882711">
    <w:abstractNumId w:val="1"/>
  </w:num>
  <w:num w:numId="2" w16cid:durableId="170983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4F"/>
    <w:rsid w:val="001B014B"/>
    <w:rsid w:val="00744B11"/>
    <w:rsid w:val="008D744F"/>
    <w:rsid w:val="0097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8313"/>
  <w15:chartTrackingRefBased/>
  <w15:docId w15:val="{58F1899B-0648-4A2F-89A2-0071E65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4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D7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8D744F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D744F"/>
    <w:pPr>
      <w:ind w:left="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D744F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D744F"/>
    <w:rPr>
      <w:rFonts w:ascii="Arial" w:eastAsia="Times New Roman" w:hAnsi="Arial" w:cs="Times New Roman"/>
      <w:b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D744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7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D74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2020-11-19T13:23:00Z</dcterms:created>
  <dcterms:modified xsi:type="dcterms:W3CDTF">2023-02-22T22:51:00Z</dcterms:modified>
</cp:coreProperties>
</file>