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283" w:type="dxa"/>
        <w:shd w:val="clear" w:color="auto" w:fill="92D050"/>
        <w:tblLayout w:type="fixed"/>
        <w:tblLook w:val="04A0" w:firstRow="1" w:lastRow="0" w:firstColumn="1" w:lastColumn="0" w:noHBand="0" w:noVBand="1"/>
      </w:tblPr>
      <w:tblGrid>
        <w:gridCol w:w="1809"/>
        <w:gridCol w:w="6663"/>
        <w:gridCol w:w="850"/>
        <w:gridCol w:w="961"/>
      </w:tblGrid>
      <w:tr w:rsidR="00AC74E8" w:rsidRPr="00225E52" w14:paraId="1C43F8E9" w14:textId="77777777" w:rsidTr="00F75953">
        <w:trPr>
          <w:trHeight w:val="227"/>
        </w:trPr>
        <w:tc>
          <w:tcPr>
            <w:tcW w:w="8472" w:type="dxa"/>
            <w:gridSpan w:val="2"/>
            <w:shd w:val="clear" w:color="auto" w:fill="92D050"/>
            <w:vAlign w:val="center"/>
          </w:tcPr>
          <w:p w14:paraId="0FBBA3D5" w14:textId="77777777" w:rsidR="00AC74E8" w:rsidRPr="00225E52" w:rsidRDefault="00AC74E8" w:rsidP="00F75953">
            <w:pPr>
              <w:pStyle w:val="Titre3"/>
              <w:spacing w:before="120" w:after="120"/>
              <w:ind w:left="357"/>
              <w:jc w:val="center"/>
              <w:rPr>
                <w:rFonts w:ascii="Arial" w:hAnsi="Arial" w:cs="Arial"/>
                <w:color w:val="auto"/>
                <w:sz w:val="28"/>
                <w:szCs w:val="28"/>
              </w:rPr>
            </w:pPr>
            <w:r w:rsidRPr="00225E52">
              <w:rPr>
                <w:rFonts w:ascii="Arial" w:hAnsi="Arial" w:cs="Arial"/>
                <w:color w:val="auto"/>
                <w:sz w:val="28"/>
                <w:szCs w:val="28"/>
              </w:rPr>
              <w:t xml:space="preserve">Mission </w:t>
            </w:r>
            <w:r>
              <w:rPr>
                <w:rFonts w:ascii="Arial" w:hAnsi="Arial" w:cs="Arial"/>
                <w:color w:val="auto"/>
                <w:sz w:val="28"/>
                <w:szCs w:val="28"/>
              </w:rPr>
              <w:t>6</w:t>
            </w:r>
            <w:r w:rsidRPr="00225E52">
              <w:rPr>
                <w:rFonts w:ascii="Arial" w:hAnsi="Arial" w:cs="Arial"/>
                <w:color w:val="auto"/>
                <w:sz w:val="28"/>
                <w:szCs w:val="28"/>
              </w:rPr>
              <w:t xml:space="preserve"> – </w:t>
            </w:r>
            <w:r w:rsidRPr="005142B9">
              <w:rPr>
                <w:rFonts w:ascii="Arial" w:hAnsi="Arial" w:cs="Arial"/>
                <w:color w:val="auto"/>
                <w:sz w:val="28"/>
                <w:szCs w:val="28"/>
              </w:rPr>
              <w:t>Réaliser un audit qualité interne</w:t>
            </w:r>
            <w:r>
              <w:rPr>
                <w:rFonts w:ascii="Arial" w:hAnsi="Arial" w:cs="Arial"/>
                <w:color w:val="auto"/>
                <w:sz w:val="28"/>
                <w:szCs w:val="28"/>
              </w:rPr>
              <w:t xml:space="preserve"> à l’aide d’une IA</w:t>
            </w:r>
          </w:p>
        </w:tc>
        <w:tc>
          <w:tcPr>
            <w:tcW w:w="1811" w:type="dxa"/>
            <w:gridSpan w:val="2"/>
            <w:shd w:val="clear" w:color="auto" w:fill="92D050"/>
            <w:vAlign w:val="center"/>
          </w:tcPr>
          <w:p w14:paraId="2C88EEF5" w14:textId="77777777" w:rsidR="00AC74E8" w:rsidRPr="00225E52" w:rsidRDefault="00AC74E8" w:rsidP="00F75953">
            <w:pPr>
              <w:pStyle w:val="Titre3"/>
              <w:spacing w:before="0"/>
              <w:ind w:left="360"/>
              <w:jc w:val="center"/>
              <w:rPr>
                <w:rFonts w:ascii="Arial" w:hAnsi="Arial" w:cs="Arial"/>
                <w:color w:val="auto"/>
                <w:sz w:val="28"/>
                <w:szCs w:val="28"/>
              </w:rPr>
            </w:pPr>
            <w:r>
              <w:rPr>
                <w:rFonts w:ascii="Arial" w:hAnsi="Arial" w:cs="Arial"/>
                <w:noProof/>
                <w:color w:val="auto"/>
                <w:sz w:val="28"/>
                <w:szCs w:val="28"/>
              </w:rPr>
              <w:drawing>
                <wp:inline distT="0" distB="0" distL="0" distR="0" wp14:anchorId="7B64CDD5" wp14:editId="65395B10">
                  <wp:extent cx="853547" cy="499745"/>
                  <wp:effectExtent l="19050" t="19050" r="22860" b="14605"/>
                  <wp:docPr id="211495597" name="Image 5" descr="Une image contenant Police, logo, Graphiqu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95597" name="Image 5" descr="Une image contenant Police, logo, Graphique, symbole&#10;&#10;Le contenu généré par l’IA peut êtr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59185" cy="503046"/>
                          </a:xfrm>
                          <a:prstGeom prst="rect">
                            <a:avLst/>
                          </a:prstGeom>
                          <a:ln>
                            <a:solidFill>
                              <a:schemeClr val="accent1"/>
                            </a:solidFill>
                          </a:ln>
                        </pic:spPr>
                      </pic:pic>
                    </a:graphicData>
                  </a:graphic>
                </wp:inline>
              </w:drawing>
            </w:r>
          </w:p>
        </w:tc>
      </w:tr>
      <w:tr w:rsidR="00AC74E8" w:rsidRPr="002A26A7" w14:paraId="66BE50B4" w14:textId="77777777" w:rsidTr="00F75953">
        <w:trPr>
          <w:trHeight w:val="504"/>
        </w:trPr>
        <w:tc>
          <w:tcPr>
            <w:tcW w:w="1809" w:type="dxa"/>
            <w:shd w:val="clear" w:color="auto" w:fill="92D050"/>
            <w:vAlign w:val="center"/>
          </w:tcPr>
          <w:p w14:paraId="76B0B631" w14:textId="77777777" w:rsidR="00AC74E8" w:rsidRDefault="00AC74E8" w:rsidP="00F75953">
            <w:pPr>
              <w:spacing w:before="0"/>
              <w:rPr>
                <w:rFonts w:cs="Arial"/>
                <w:bCs/>
                <w:iCs/>
                <w:color w:val="000000" w:themeColor="text1"/>
              </w:rPr>
            </w:pPr>
            <w:r>
              <w:rPr>
                <w:rFonts w:cs="Arial"/>
                <w:bCs/>
                <w:iCs/>
                <w:color w:val="000000" w:themeColor="text1"/>
              </w:rPr>
              <w:t>Avec IA : 30’</w:t>
            </w:r>
          </w:p>
          <w:p w14:paraId="744A74CD" w14:textId="77777777" w:rsidR="00AC74E8" w:rsidRPr="008D1343" w:rsidRDefault="00AC74E8" w:rsidP="00F75953">
            <w:pPr>
              <w:spacing w:before="0"/>
              <w:rPr>
                <w:rFonts w:cs="Arial"/>
                <w:bCs/>
                <w:iCs/>
                <w:color w:val="000000" w:themeColor="text1"/>
              </w:rPr>
            </w:pPr>
            <w:r>
              <w:rPr>
                <w:rFonts w:cs="Arial"/>
                <w:bCs/>
                <w:iCs/>
                <w:color w:val="000000" w:themeColor="text1"/>
              </w:rPr>
              <w:t xml:space="preserve">Sans IA : 1 h 30 </w:t>
            </w:r>
          </w:p>
        </w:tc>
        <w:tc>
          <w:tcPr>
            <w:tcW w:w="6663" w:type="dxa"/>
            <w:shd w:val="clear" w:color="auto" w:fill="92D050"/>
            <w:vAlign w:val="center"/>
          </w:tcPr>
          <w:p w14:paraId="676FD82D" w14:textId="77777777" w:rsidR="00AC74E8" w:rsidRPr="002A26A7" w:rsidRDefault="00AC74E8" w:rsidP="00F75953">
            <w:pPr>
              <w:spacing w:before="0"/>
              <w:jc w:val="center"/>
              <w:rPr>
                <w:rFonts w:cs="Arial"/>
                <w:color w:val="000000" w:themeColor="text1"/>
              </w:rPr>
            </w:pPr>
            <w:r w:rsidRPr="00B40708">
              <w:rPr>
                <w:iCs/>
                <w:noProof/>
              </w:rPr>
              <w:drawing>
                <wp:inline distT="0" distB="0" distL="0" distR="0" wp14:anchorId="64676A39" wp14:editId="6E62FEBF">
                  <wp:extent cx="324000" cy="324000"/>
                  <wp:effectExtent l="0" t="0" r="0" b="0"/>
                  <wp:docPr id="10365913" name="Graphique 10365913"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948937" name="Graphique 520948937" descr="Homme avec un remplissage uni"/>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24000" cy="324000"/>
                          </a:xfrm>
                          <a:prstGeom prst="rect">
                            <a:avLst/>
                          </a:prstGeom>
                        </pic:spPr>
                      </pic:pic>
                    </a:graphicData>
                  </a:graphic>
                </wp:inline>
              </w:drawing>
            </w:r>
            <w:proofErr w:type="gramStart"/>
            <w:r w:rsidRPr="00B40708">
              <w:rPr>
                <w:iCs/>
              </w:rPr>
              <w:t>ou</w:t>
            </w:r>
            <w:proofErr w:type="gramEnd"/>
            <w:r>
              <w:rPr>
                <w:i/>
                <w:noProof/>
              </w:rPr>
              <w:drawing>
                <wp:inline distT="0" distB="0" distL="0" distR="0" wp14:anchorId="66D3D0C2" wp14:editId="66FC878E">
                  <wp:extent cx="359103" cy="323158"/>
                  <wp:effectExtent l="0" t="0" r="0" b="1270"/>
                  <wp:docPr id="1693259663" name="Graphique 1693259663"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875365" name="Graphique 1395875365" descr="Deux hommes avec un remplissage uni"/>
                          <pic:cNvPicPr/>
                        </pic:nvPicPr>
                        <pic:blipFill rotWithShape="1">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rcRect t="5320" b="4688"/>
                          <a:stretch/>
                        </pic:blipFill>
                        <pic:spPr bwMode="auto">
                          <a:xfrm>
                            <a:off x="0" y="0"/>
                            <a:ext cx="359103" cy="323158"/>
                          </a:xfrm>
                          <a:prstGeom prst="rect">
                            <a:avLst/>
                          </a:prstGeom>
                          <a:ln>
                            <a:noFill/>
                          </a:ln>
                          <a:extLst>
                            <a:ext uri="{53640926-AAD7-44D8-BBD7-CCE9431645EC}">
                              <a14:shadowObscured xmlns:a14="http://schemas.microsoft.com/office/drawing/2010/main"/>
                            </a:ext>
                          </a:extLst>
                        </pic:spPr>
                      </pic:pic>
                    </a:graphicData>
                  </a:graphic>
                </wp:inline>
              </w:drawing>
            </w:r>
          </w:p>
        </w:tc>
        <w:tc>
          <w:tcPr>
            <w:tcW w:w="850" w:type="dxa"/>
            <w:shd w:val="clear" w:color="auto" w:fill="92D050"/>
            <w:vAlign w:val="center"/>
          </w:tcPr>
          <w:p w14:paraId="48C5325B" w14:textId="77777777" w:rsidR="00AC74E8" w:rsidRPr="002A26A7" w:rsidRDefault="00AC74E8" w:rsidP="00F75953">
            <w:pPr>
              <w:spacing w:before="0"/>
              <w:jc w:val="center"/>
              <w:rPr>
                <w:rFonts w:cs="Arial"/>
                <w:color w:val="000000" w:themeColor="text1"/>
              </w:rPr>
            </w:pPr>
            <w:r>
              <w:rPr>
                <w:rFonts w:cs="Arial"/>
                <w:noProof/>
                <w:color w:val="000000" w:themeColor="text1"/>
              </w:rPr>
              <w:drawing>
                <wp:inline distT="0" distB="0" distL="0" distR="0" wp14:anchorId="00E92DB4" wp14:editId="2970ACF9">
                  <wp:extent cx="365769" cy="360000"/>
                  <wp:effectExtent l="0" t="0" r="0" b="2540"/>
                  <wp:docPr id="76148715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487158" name="Image 76148715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5769" cy="360000"/>
                          </a:xfrm>
                          <a:prstGeom prst="rect">
                            <a:avLst/>
                          </a:prstGeom>
                        </pic:spPr>
                      </pic:pic>
                    </a:graphicData>
                  </a:graphic>
                </wp:inline>
              </w:drawing>
            </w:r>
          </w:p>
        </w:tc>
        <w:tc>
          <w:tcPr>
            <w:tcW w:w="961" w:type="dxa"/>
            <w:shd w:val="clear" w:color="auto" w:fill="92D050"/>
            <w:vAlign w:val="center"/>
          </w:tcPr>
          <w:p w14:paraId="50299823" w14:textId="77777777" w:rsidR="00AC74E8" w:rsidRPr="002A26A7" w:rsidRDefault="00AC74E8" w:rsidP="00F75953">
            <w:pPr>
              <w:spacing w:before="0"/>
              <w:jc w:val="center"/>
              <w:rPr>
                <w:rFonts w:cs="Arial"/>
                <w:color w:val="000000" w:themeColor="text1"/>
              </w:rPr>
            </w:pPr>
            <w:r w:rsidRPr="002A26A7">
              <w:rPr>
                <w:rFonts w:cs="Arial"/>
                <w:color w:val="000000" w:themeColor="text1"/>
              </w:rPr>
              <w:t>Source</w:t>
            </w:r>
          </w:p>
        </w:tc>
      </w:tr>
    </w:tbl>
    <w:p w14:paraId="2E2AE900" w14:textId="77777777" w:rsidR="00AC74E8" w:rsidRPr="003B05DA" w:rsidRDefault="00AC74E8" w:rsidP="00AC74E8">
      <w:pPr>
        <w:pStyle w:val="Titre2"/>
        <w:shd w:val="clear" w:color="auto" w:fill="E2EFD9" w:themeFill="accent6" w:themeFillTint="33"/>
        <w:spacing w:before="240" w:beforeAutospacing="0" w:after="60" w:afterAutospacing="0"/>
        <w:jc w:val="center"/>
        <w:rPr>
          <w:b w:val="0"/>
          <w:bCs w:val="0"/>
          <w:sz w:val="20"/>
          <w:szCs w:val="40"/>
        </w:rPr>
      </w:pPr>
      <w:r w:rsidRPr="003B05DA">
        <w:rPr>
          <w:b w:val="0"/>
          <w:bCs w:val="0"/>
          <w:sz w:val="20"/>
          <w:szCs w:val="40"/>
        </w:rPr>
        <w:t>Ce travail peut être fait avec ou sans IA. Dans ce 2</w:t>
      </w:r>
      <w:r w:rsidRPr="003B05DA">
        <w:rPr>
          <w:b w:val="0"/>
          <w:bCs w:val="0"/>
          <w:sz w:val="20"/>
          <w:szCs w:val="40"/>
          <w:vertAlign w:val="superscript"/>
        </w:rPr>
        <w:t>nd</w:t>
      </w:r>
      <w:r w:rsidRPr="003B05DA">
        <w:rPr>
          <w:b w:val="0"/>
          <w:bCs w:val="0"/>
          <w:sz w:val="20"/>
          <w:szCs w:val="40"/>
        </w:rPr>
        <w:t xml:space="preserve"> cas il faudra vérifier que les étudiants n’</w:t>
      </w:r>
      <w:r>
        <w:rPr>
          <w:b w:val="0"/>
          <w:bCs w:val="0"/>
          <w:sz w:val="20"/>
          <w:szCs w:val="40"/>
        </w:rPr>
        <w:t>ont</w:t>
      </w:r>
      <w:r w:rsidRPr="003B05DA">
        <w:rPr>
          <w:b w:val="0"/>
          <w:bCs w:val="0"/>
          <w:sz w:val="20"/>
          <w:szCs w:val="40"/>
        </w:rPr>
        <w:t xml:space="preserve"> pas accès à internet</w:t>
      </w:r>
      <w:r>
        <w:rPr>
          <w:b w:val="0"/>
          <w:bCs w:val="0"/>
          <w:sz w:val="20"/>
          <w:szCs w:val="40"/>
        </w:rPr>
        <w:t xml:space="preserve"> et n’ont pas d’outils personnel de communication qui leur offre cet accès.</w:t>
      </w:r>
    </w:p>
    <w:p w14:paraId="3F397626" w14:textId="77777777" w:rsidR="00AC74E8" w:rsidRPr="00D23381" w:rsidRDefault="00AC74E8" w:rsidP="00AC74E8">
      <w:pPr>
        <w:pStyle w:val="Titre2"/>
        <w:spacing w:before="240" w:beforeAutospacing="0" w:after="60" w:afterAutospacing="0"/>
      </w:pPr>
      <w:r>
        <w:t>L’entreprise</w:t>
      </w:r>
    </w:p>
    <w:p w14:paraId="1A765EC8" w14:textId="77777777" w:rsidR="00AC74E8" w:rsidRPr="004B6D7E" w:rsidRDefault="00AC74E8" w:rsidP="00AC74E8">
      <w:pPr>
        <w:rPr>
          <w:lang w:eastAsia="fr-FR"/>
        </w:rPr>
      </w:pPr>
      <w:r>
        <w:rPr>
          <w:noProof/>
          <w:lang w:eastAsia="fr-FR"/>
        </w:rPr>
        <w:drawing>
          <wp:anchor distT="0" distB="0" distL="114300" distR="114300" simplePos="0" relativeHeight="251659264" behindDoc="0" locked="0" layoutInCell="1" allowOverlap="1" wp14:anchorId="4BB4EF99" wp14:editId="7758A0AD">
            <wp:simplePos x="0" y="0"/>
            <wp:positionH relativeFrom="column">
              <wp:posOffset>4786104</wp:posOffset>
            </wp:positionH>
            <wp:positionV relativeFrom="paragraph">
              <wp:posOffset>58393</wp:posOffset>
            </wp:positionV>
            <wp:extent cx="1729105" cy="1144270"/>
            <wp:effectExtent l="0" t="0" r="4445" b="0"/>
            <wp:wrapSquare wrapText="bothSides"/>
            <wp:docPr id="74943994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439947" name="Image 74943994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9105" cy="1144270"/>
                    </a:xfrm>
                    <a:prstGeom prst="rect">
                      <a:avLst/>
                    </a:prstGeom>
                  </pic:spPr>
                </pic:pic>
              </a:graphicData>
            </a:graphic>
            <wp14:sizeRelH relativeFrom="margin">
              <wp14:pctWidth>0</wp14:pctWidth>
            </wp14:sizeRelH>
            <wp14:sizeRelV relativeFrom="margin">
              <wp14:pctHeight>0</wp14:pctHeight>
            </wp14:sizeRelV>
          </wp:anchor>
        </w:drawing>
      </w:r>
      <w:r w:rsidRPr="004B6D7E">
        <w:rPr>
          <w:lang w:eastAsia="fr-FR"/>
        </w:rPr>
        <w:t xml:space="preserve">La société </w:t>
      </w:r>
      <w:r w:rsidRPr="004B6D7E">
        <w:rPr>
          <w:b/>
          <w:bCs/>
          <w:lang w:eastAsia="fr-FR"/>
        </w:rPr>
        <w:t>TechnoMed</w:t>
      </w:r>
      <w:r w:rsidRPr="004B6D7E">
        <w:rPr>
          <w:lang w:eastAsia="fr-FR"/>
        </w:rPr>
        <w:t xml:space="preserve">, installée à Lyon, conçoit et distribue du matériel médical connecté (tensiomètres, glucomètres et balances intelligentes). Elle emploie actuellement 65 salariés et est certifiée </w:t>
      </w:r>
      <w:r w:rsidRPr="004B6D7E">
        <w:rPr>
          <w:b/>
          <w:bCs/>
          <w:lang w:eastAsia="fr-FR"/>
        </w:rPr>
        <w:t>ISO 9001</w:t>
      </w:r>
      <w:r w:rsidRPr="004B6D7E">
        <w:rPr>
          <w:lang w:eastAsia="fr-FR"/>
        </w:rPr>
        <w:t xml:space="preserve"> depuis trois ans.</w:t>
      </w:r>
    </w:p>
    <w:p w14:paraId="4A1EE35D" w14:textId="77777777" w:rsidR="00AC74E8" w:rsidRPr="004B6D7E" w:rsidRDefault="00AC74E8" w:rsidP="00AC74E8">
      <w:pPr>
        <w:rPr>
          <w:lang w:eastAsia="fr-FR"/>
        </w:rPr>
      </w:pPr>
      <w:r w:rsidRPr="004B6D7E">
        <w:rPr>
          <w:lang w:eastAsia="fr-FR"/>
        </w:rPr>
        <w:t>Fondée il y a une quinzaine d’années par un groupe d’ingénieurs biomédicaux, l’entreprise a d’abord développé des équipements destinés aux établissements de santé avant de se spécialiser dans les solutions connectées à destination des professionnels et des patients. Cette évolution lui a permis de s’imposer sur un marché en pleine croissance, porté par la télémédecine et le suivi à distance des patients.</w:t>
      </w:r>
    </w:p>
    <w:p w14:paraId="1E055648" w14:textId="77777777" w:rsidR="00AC74E8" w:rsidRPr="004B6D7E" w:rsidRDefault="00AC74E8" w:rsidP="00AC74E8">
      <w:pPr>
        <w:rPr>
          <w:lang w:eastAsia="fr-FR"/>
        </w:rPr>
      </w:pPr>
      <w:r w:rsidRPr="004B6D7E">
        <w:rPr>
          <w:lang w:eastAsia="fr-FR"/>
        </w:rPr>
        <w:t>Les compétences de TechnoMed reposent sur :</w:t>
      </w:r>
    </w:p>
    <w:p w14:paraId="4DCBC66C" w14:textId="77777777" w:rsidR="00AC74E8" w:rsidRPr="004B6D7E" w:rsidRDefault="00AC74E8" w:rsidP="00AC74E8">
      <w:pPr>
        <w:numPr>
          <w:ilvl w:val="0"/>
          <w:numId w:val="23"/>
        </w:numPr>
        <w:tabs>
          <w:tab w:val="clear" w:pos="360"/>
          <w:tab w:val="num" w:pos="720"/>
        </w:tabs>
        <w:spacing w:before="0"/>
        <w:ind w:left="284" w:hanging="284"/>
        <w:rPr>
          <w:lang w:eastAsia="fr-FR"/>
        </w:rPr>
      </w:pPr>
      <w:proofErr w:type="gramStart"/>
      <w:r w:rsidRPr="004B6D7E">
        <w:rPr>
          <w:b/>
          <w:bCs/>
          <w:lang w:eastAsia="fr-FR"/>
        </w:rPr>
        <w:t>une</w:t>
      </w:r>
      <w:proofErr w:type="gramEnd"/>
      <w:r w:rsidRPr="004B6D7E">
        <w:rPr>
          <w:b/>
          <w:bCs/>
          <w:lang w:eastAsia="fr-FR"/>
        </w:rPr>
        <w:t xml:space="preserve"> expertise technologique</w:t>
      </w:r>
      <w:r w:rsidRPr="004B6D7E">
        <w:rPr>
          <w:lang w:eastAsia="fr-FR"/>
        </w:rPr>
        <w:t xml:space="preserve"> dans la conception de dispositifs médicaux alliant précision, fiabilité et connectivité</w:t>
      </w:r>
      <w:r>
        <w:rPr>
          <w:lang w:eastAsia="fr-FR"/>
        </w:rPr>
        <w:t> ;</w:t>
      </w:r>
    </w:p>
    <w:p w14:paraId="1D87F4E7" w14:textId="77777777" w:rsidR="00AC74E8" w:rsidRPr="004B6D7E" w:rsidRDefault="00AC74E8" w:rsidP="00AC74E8">
      <w:pPr>
        <w:numPr>
          <w:ilvl w:val="0"/>
          <w:numId w:val="23"/>
        </w:numPr>
        <w:tabs>
          <w:tab w:val="clear" w:pos="360"/>
          <w:tab w:val="num" w:pos="720"/>
        </w:tabs>
        <w:spacing w:before="0"/>
        <w:ind w:left="284" w:hanging="284"/>
        <w:rPr>
          <w:lang w:eastAsia="fr-FR"/>
        </w:rPr>
      </w:pPr>
      <w:proofErr w:type="gramStart"/>
      <w:r w:rsidRPr="004B6D7E">
        <w:rPr>
          <w:b/>
          <w:bCs/>
          <w:lang w:eastAsia="fr-FR"/>
        </w:rPr>
        <w:t>une</w:t>
      </w:r>
      <w:proofErr w:type="gramEnd"/>
      <w:r w:rsidRPr="004B6D7E">
        <w:rPr>
          <w:b/>
          <w:bCs/>
          <w:lang w:eastAsia="fr-FR"/>
        </w:rPr>
        <w:t xml:space="preserve"> solide équipe R&amp;D</w:t>
      </w:r>
      <w:r w:rsidRPr="004B6D7E">
        <w:rPr>
          <w:lang w:eastAsia="fr-FR"/>
        </w:rPr>
        <w:t>, qui travaille en collaboration avec des laboratoires universitaires et des professionnels de santé</w:t>
      </w:r>
      <w:r>
        <w:rPr>
          <w:lang w:eastAsia="fr-FR"/>
        </w:rPr>
        <w:t> ;</w:t>
      </w:r>
    </w:p>
    <w:p w14:paraId="03CB0954" w14:textId="77777777" w:rsidR="00AC74E8" w:rsidRPr="004B6D7E" w:rsidRDefault="00AC74E8" w:rsidP="00AC74E8">
      <w:pPr>
        <w:numPr>
          <w:ilvl w:val="0"/>
          <w:numId w:val="23"/>
        </w:numPr>
        <w:tabs>
          <w:tab w:val="clear" w:pos="360"/>
          <w:tab w:val="num" w:pos="720"/>
        </w:tabs>
        <w:spacing w:before="0"/>
        <w:ind w:left="284" w:hanging="284"/>
        <w:rPr>
          <w:lang w:eastAsia="fr-FR"/>
        </w:rPr>
      </w:pPr>
      <w:proofErr w:type="gramStart"/>
      <w:r w:rsidRPr="004B6D7E">
        <w:rPr>
          <w:b/>
          <w:bCs/>
          <w:lang w:eastAsia="fr-FR"/>
        </w:rPr>
        <w:t>une</w:t>
      </w:r>
      <w:proofErr w:type="gramEnd"/>
      <w:r w:rsidRPr="004B6D7E">
        <w:rPr>
          <w:b/>
          <w:bCs/>
          <w:lang w:eastAsia="fr-FR"/>
        </w:rPr>
        <w:t xml:space="preserve"> maîtrise de la réglementation</w:t>
      </w:r>
      <w:r w:rsidRPr="004B6D7E">
        <w:rPr>
          <w:lang w:eastAsia="fr-FR"/>
        </w:rPr>
        <w:t xml:space="preserve"> et des normes de sécurité propres au secteur médical.</w:t>
      </w:r>
    </w:p>
    <w:p w14:paraId="1F3192F7" w14:textId="77777777" w:rsidR="00AC74E8" w:rsidRDefault="00AC74E8" w:rsidP="00AC74E8">
      <w:pPr>
        <w:rPr>
          <w:lang w:eastAsia="fr-FR"/>
        </w:rPr>
      </w:pPr>
      <w:r w:rsidRPr="004B6D7E">
        <w:rPr>
          <w:lang w:eastAsia="fr-FR"/>
        </w:rPr>
        <w:t>Ses avantages concurrentiels tiennent à sa capacité d’</w:t>
      </w:r>
      <w:r w:rsidRPr="004B6D7E">
        <w:rPr>
          <w:b/>
          <w:bCs/>
          <w:lang w:eastAsia="fr-FR"/>
        </w:rPr>
        <w:t>innovation continue</w:t>
      </w:r>
      <w:r w:rsidRPr="004B6D7E">
        <w:rPr>
          <w:lang w:eastAsia="fr-FR"/>
        </w:rPr>
        <w:t xml:space="preserve">, à la </w:t>
      </w:r>
      <w:r w:rsidRPr="004B6D7E">
        <w:rPr>
          <w:b/>
          <w:bCs/>
          <w:lang w:eastAsia="fr-FR"/>
        </w:rPr>
        <w:t>fiabilité éprouvée</w:t>
      </w:r>
      <w:r w:rsidRPr="004B6D7E">
        <w:rPr>
          <w:lang w:eastAsia="fr-FR"/>
        </w:rPr>
        <w:t xml:space="preserve"> de ses produits et à la </w:t>
      </w:r>
      <w:r w:rsidRPr="004B6D7E">
        <w:rPr>
          <w:b/>
          <w:bCs/>
          <w:lang w:eastAsia="fr-FR"/>
        </w:rPr>
        <w:t>qualité de son service client</w:t>
      </w:r>
      <w:r w:rsidRPr="004B6D7E">
        <w:rPr>
          <w:lang w:eastAsia="fr-FR"/>
        </w:rPr>
        <w:t>, qui assure un accompagnement technique et une maintenance réactive. Grâce à cette approche, TechnoMed bénéficie d’une image sérieuse et d’une relation de confiance avec ses partenaires.</w:t>
      </w:r>
    </w:p>
    <w:p w14:paraId="4BDFD117" w14:textId="77777777" w:rsidR="00AC74E8" w:rsidRDefault="00AC74E8" w:rsidP="00AC74E8">
      <w:pPr>
        <w:pStyle w:val="Titre2"/>
        <w:spacing w:before="240" w:beforeAutospacing="0" w:after="60" w:afterAutospacing="0"/>
      </w:pPr>
      <w:r w:rsidRPr="00D052F4">
        <w:t>Contexte professionnel</w:t>
      </w:r>
      <w:r>
        <w:rPr>
          <w:sz w:val="20"/>
        </w:rPr>
        <w:t xml:space="preserve"> </w:t>
      </w:r>
    </w:p>
    <w:p w14:paraId="64654482" w14:textId="77777777" w:rsidR="00AC74E8" w:rsidRPr="004B6D7E" w:rsidRDefault="00AC74E8" w:rsidP="00AC74E8">
      <w:pPr>
        <w:rPr>
          <w:lang w:eastAsia="fr-FR"/>
        </w:rPr>
      </w:pPr>
      <w:r w:rsidRPr="004B6D7E">
        <w:rPr>
          <w:lang w:eastAsia="fr-FR"/>
        </w:rPr>
        <w:t xml:space="preserve">La certification ISO 9001, obtenue il y a trois ans, constitue un atout important pour rassurer clients et partenaires. Son renouvellement, prévu l’an prochain, est stratégique pour l’entreprise. Dans ce cadre, la direction souhaite anticiper en lançant un </w:t>
      </w:r>
      <w:r w:rsidRPr="004B6D7E">
        <w:rPr>
          <w:b/>
          <w:bCs/>
          <w:lang w:eastAsia="fr-FR"/>
        </w:rPr>
        <w:t>audit qualité interne</w:t>
      </w:r>
      <w:r w:rsidRPr="004B6D7E">
        <w:rPr>
          <w:lang w:eastAsia="fr-FR"/>
        </w:rPr>
        <w:t xml:space="preserve"> afin d’identifier les écarts éventuels dans les procédures actuelles et de définir un plan d’actions correctives avant l’audit externe.</w:t>
      </w:r>
    </w:p>
    <w:p w14:paraId="1C02114F" w14:textId="77777777" w:rsidR="00AC74E8" w:rsidRPr="004B6D7E" w:rsidRDefault="00AC74E8" w:rsidP="00AC74E8">
      <w:pPr>
        <w:rPr>
          <w:lang w:eastAsia="fr-FR"/>
        </w:rPr>
      </w:pPr>
      <w:r w:rsidRPr="004B6D7E">
        <w:rPr>
          <w:lang w:eastAsia="fr-FR"/>
        </w:rPr>
        <w:t>M</w:t>
      </w:r>
      <w:r w:rsidRPr="004B6D7E">
        <w:rPr>
          <w:vertAlign w:val="superscript"/>
          <w:lang w:eastAsia="fr-FR"/>
        </w:rPr>
        <w:t>me</w:t>
      </w:r>
      <w:r w:rsidRPr="004B6D7E">
        <w:rPr>
          <w:lang w:eastAsia="fr-FR"/>
        </w:rPr>
        <w:t xml:space="preserve"> Roux, responsable qualité, vous confie la mission de préparer cet audit en vous appuyant sur les documents sources.</w:t>
      </w:r>
    </w:p>
    <w:p w14:paraId="165ED4A0" w14:textId="77777777" w:rsidR="00AC74E8" w:rsidRPr="00361FDB" w:rsidRDefault="00AC74E8" w:rsidP="00AC74E8">
      <w:pPr>
        <w:spacing w:before="240" w:after="120"/>
        <w:rPr>
          <w:b/>
          <w:bCs/>
          <w:sz w:val="24"/>
          <w:szCs w:val="28"/>
          <w:lang w:eastAsia="fr-FR"/>
        </w:rPr>
      </w:pPr>
      <w:r w:rsidRPr="00361FDB">
        <w:rPr>
          <w:b/>
          <w:bCs/>
          <w:sz w:val="24"/>
          <w:szCs w:val="28"/>
          <w:lang w:eastAsia="fr-FR"/>
        </w:rPr>
        <w:t>Travail à faire</w:t>
      </w:r>
    </w:p>
    <w:p w14:paraId="4F0FB832" w14:textId="77777777" w:rsidR="00AC74E8" w:rsidRDefault="00AC74E8" w:rsidP="00AC74E8">
      <w:pPr>
        <w:tabs>
          <w:tab w:val="num" w:pos="720"/>
        </w:tabs>
        <w:spacing w:before="0" w:after="120"/>
        <w:rPr>
          <w:lang w:eastAsia="fr-FR"/>
        </w:rPr>
      </w:pPr>
      <w:r>
        <w:rPr>
          <w:lang w:eastAsia="fr-FR"/>
        </w:rPr>
        <w:t>M</w:t>
      </w:r>
      <w:r w:rsidRPr="00361FDB">
        <w:rPr>
          <w:vertAlign w:val="superscript"/>
          <w:lang w:eastAsia="fr-FR"/>
        </w:rPr>
        <w:t>me</w:t>
      </w:r>
      <w:r>
        <w:rPr>
          <w:lang w:eastAsia="fr-FR"/>
        </w:rPr>
        <w:t xml:space="preserve"> Roux souhaite envoyer, à tous les responsables de services, une fiche de présentation du travail à réaliser dans le cadre de la préparation de l’audit. </w:t>
      </w:r>
    </w:p>
    <w:p w14:paraId="291A273D" w14:textId="77777777" w:rsidR="00AC74E8" w:rsidRDefault="00AC74E8" w:rsidP="0029162E">
      <w:pPr>
        <w:numPr>
          <w:ilvl w:val="0"/>
          <w:numId w:val="17"/>
        </w:numPr>
        <w:tabs>
          <w:tab w:val="num" w:pos="720"/>
        </w:tabs>
        <w:spacing w:before="0"/>
        <w:jc w:val="left"/>
        <w:rPr>
          <w:lang w:eastAsia="fr-FR"/>
        </w:rPr>
      </w:pPr>
      <w:r>
        <w:rPr>
          <w:lang w:eastAsia="fr-FR"/>
        </w:rPr>
        <w:t>Rédigez la fiche de préparation d’audit présentant : les objectifs de l’audit, les services concernés et les principales étapes de la démarche</w:t>
      </w:r>
    </w:p>
    <w:p w14:paraId="6B60172A" w14:textId="77777777" w:rsidR="00AC74E8" w:rsidRPr="005142B9" w:rsidRDefault="00AC74E8" w:rsidP="0029162E">
      <w:pPr>
        <w:numPr>
          <w:ilvl w:val="0"/>
          <w:numId w:val="17"/>
        </w:numPr>
        <w:tabs>
          <w:tab w:val="num" w:pos="720"/>
        </w:tabs>
        <w:spacing w:before="0"/>
        <w:jc w:val="left"/>
        <w:rPr>
          <w:lang w:eastAsia="fr-FR"/>
        </w:rPr>
      </w:pPr>
      <w:r w:rsidRPr="005142B9">
        <w:rPr>
          <w:lang w:eastAsia="fr-FR"/>
        </w:rPr>
        <w:t xml:space="preserve">À partir du </w:t>
      </w:r>
      <w:r w:rsidRPr="00361FDB">
        <w:rPr>
          <w:b/>
          <w:bCs/>
          <w:lang w:eastAsia="fr-FR"/>
        </w:rPr>
        <w:t>document 1</w:t>
      </w:r>
      <w:r w:rsidRPr="005142B9">
        <w:rPr>
          <w:lang w:eastAsia="fr-FR"/>
        </w:rPr>
        <w:t xml:space="preserve">, construisez une </w:t>
      </w:r>
      <w:r w:rsidRPr="00361FDB">
        <w:rPr>
          <w:lang w:eastAsia="fr-FR"/>
        </w:rPr>
        <w:t>grille d’évaluation des écarts</w:t>
      </w:r>
      <w:r w:rsidRPr="005142B9">
        <w:rPr>
          <w:lang w:eastAsia="fr-FR"/>
        </w:rPr>
        <w:t xml:space="preserve"> (non-conformité majeure, mineure, piste d’amélioration) adaptée à TechnoMed.</w:t>
      </w:r>
    </w:p>
    <w:p w14:paraId="60659573" w14:textId="77777777" w:rsidR="00AC74E8" w:rsidRPr="005142B9" w:rsidRDefault="00AC74E8" w:rsidP="0029162E">
      <w:pPr>
        <w:numPr>
          <w:ilvl w:val="0"/>
          <w:numId w:val="17"/>
        </w:numPr>
        <w:tabs>
          <w:tab w:val="num" w:pos="720"/>
        </w:tabs>
        <w:spacing w:before="0"/>
        <w:jc w:val="left"/>
        <w:rPr>
          <w:lang w:eastAsia="fr-FR"/>
        </w:rPr>
      </w:pPr>
      <w:r w:rsidRPr="005142B9">
        <w:rPr>
          <w:lang w:eastAsia="fr-FR"/>
        </w:rPr>
        <w:t>Analysez les extraits d’entretiens (</w:t>
      </w:r>
      <w:r w:rsidRPr="00361FDB">
        <w:rPr>
          <w:b/>
          <w:bCs/>
          <w:lang w:eastAsia="fr-FR"/>
        </w:rPr>
        <w:t>document 2</w:t>
      </w:r>
      <w:r w:rsidRPr="005142B9">
        <w:rPr>
          <w:lang w:eastAsia="fr-FR"/>
        </w:rPr>
        <w:t xml:space="preserve">) et identifiez </w:t>
      </w:r>
      <w:r w:rsidRPr="00361FDB">
        <w:rPr>
          <w:lang w:eastAsia="fr-FR"/>
        </w:rPr>
        <w:t>trois écarts qualité</w:t>
      </w:r>
      <w:r w:rsidRPr="005142B9">
        <w:rPr>
          <w:lang w:eastAsia="fr-FR"/>
        </w:rPr>
        <w:t>. Proposez pour chacun une action corrective.</w:t>
      </w:r>
    </w:p>
    <w:p w14:paraId="34234BE6" w14:textId="77777777" w:rsidR="00AC74E8" w:rsidRDefault="00AC74E8" w:rsidP="0029162E">
      <w:pPr>
        <w:numPr>
          <w:ilvl w:val="0"/>
          <w:numId w:val="17"/>
        </w:numPr>
        <w:tabs>
          <w:tab w:val="num" w:pos="720"/>
        </w:tabs>
        <w:spacing w:before="0"/>
        <w:jc w:val="left"/>
        <w:rPr>
          <w:lang w:eastAsia="fr-FR"/>
        </w:rPr>
      </w:pPr>
      <w:r w:rsidRPr="005142B9">
        <w:rPr>
          <w:lang w:eastAsia="fr-FR"/>
        </w:rPr>
        <w:t xml:space="preserve">Présentez vos résultats dans un </w:t>
      </w:r>
      <w:r w:rsidRPr="00361FDB">
        <w:rPr>
          <w:lang w:eastAsia="fr-FR"/>
        </w:rPr>
        <w:t>rapport d’audit interne</w:t>
      </w:r>
      <w:r w:rsidRPr="005142B9">
        <w:rPr>
          <w:lang w:eastAsia="fr-FR"/>
        </w:rPr>
        <w:t xml:space="preserve"> à transmettre à M</w:t>
      </w:r>
      <w:r w:rsidRPr="003B05DA">
        <w:rPr>
          <w:vertAlign w:val="superscript"/>
          <w:lang w:eastAsia="fr-FR"/>
        </w:rPr>
        <w:t>me</w:t>
      </w:r>
      <w:r w:rsidRPr="005142B9">
        <w:rPr>
          <w:lang w:eastAsia="fr-FR"/>
        </w:rPr>
        <w:t xml:space="preserve"> Roux.</w:t>
      </w:r>
    </w:p>
    <w:p w14:paraId="5F00E7D2" w14:textId="77777777" w:rsidR="00823AB9" w:rsidRDefault="00823AB9" w:rsidP="00823AB9">
      <w:pPr>
        <w:tabs>
          <w:tab w:val="num" w:pos="720"/>
        </w:tabs>
        <w:spacing w:before="0"/>
        <w:rPr>
          <w:lang w:eastAsia="fr-FR"/>
        </w:rPr>
      </w:pPr>
    </w:p>
    <w:p w14:paraId="2B191B55" w14:textId="77777777" w:rsidR="00823AB9" w:rsidRDefault="00823AB9" w:rsidP="00823AB9">
      <w:pPr>
        <w:tabs>
          <w:tab w:val="num" w:pos="720"/>
        </w:tabs>
        <w:spacing w:before="0"/>
        <w:rPr>
          <w:lang w:eastAsia="fr-FR"/>
        </w:rPr>
      </w:pPr>
    </w:p>
    <w:p w14:paraId="4207306A" w14:textId="77777777" w:rsidR="00823AB9" w:rsidRDefault="00823AB9" w:rsidP="00823AB9">
      <w:pPr>
        <w:tabs>
          <w:tab w:val="num" w:pos="720"/>
        </w:tabs>
        <w:spacing w:before="0"/>
        <w:rPr>
          <w:lang w:eastAsia="fr-FR"/>
        </w:rPr>
      </w:pPr>
    </w:p>
    <w:p w14:paraId="30758DC3" w14:textId="77777777" w:rsidR="00823AB9" w:rsidRDefault="00823AB9" w:rsidP="00823AB9">
      <w:pPr>
        <w:tabs>
          <w:tab w:val="num" w:pos="720"/>
        </w:tabs>
        <w:spacing w:before="0"/>
        <w:rPr>
          <w:lang w:eastAsia="fr-FR"/>
        </w:rPr>
      </w:pPr>
    </w:p>
    <w:p w14:paraId="3DB18437" w14:textId="77777777" w:rsidR="00823AB9" w:rsidRDefault="00823AB9" w:rsidP="00823AB9">
      <w:pPr>
        <w:tabs>
          <w:tab w:val="num" w:pos="720"/>
        </w:tabs>
        <w:spacing w:before="0"/>
        <w:rPr>
          <w:lang w:eastAsia="fr-FR"/>
        </w:rPr>
      </w:pPr>
    </w:p>
    <w:p w14:paraId="0D2E534F" w14:textId="77777777" w:rsidR="00823AB9" w:rsidRDefault="00823AB9" w:rsidP="00823AB9">
      <w:pPr>
        <w:tabs>
          <w:tab w:val="num" w:pos="720"/>
        </w:tabs>
        <w:spacing w:before="0"/>
        <w:rPr>
          <w:lang w:eastAsia="fr-FR"/>
        </w:rPr>
      </w:pPr>
    </w:p>
    <w:p w14:paraId="1478767C" w14:textId="77777777" w:rsidR="00823AB9" w:rsidRDefault="00823AB9" w:rsidP="00823AB9">
      <w:pPr>
        <w:tabs>
          <w:tab w:val="num" w:pos="720"/>
        </w:tabs>
        <w:spacing w:before="0"/>
        <w:rPr>
          <w:lang w:eastAsia="fr-FR"/>
        </w:rPr>
      </w:pPr>
    </w:p>
    <w:p w14:paraId="25BE35E8" w14:textId="77777777" w:rsidR="00823AB9" w:rsidRDefault="00823AB9" w:rsidP="00823AB9">
      <w:pPr>
        <w:tabs>
          <w:tab w:val="num" w:pos="720"/>
        </w:tabs>
        <w:spacing w:before="0"/>
        <w:rPr>
          <w:lang w:eastAsia="fr-FR"/>
        </w:rPr>
      </w:pPr>
    </w:p>
    <w:p w14:paraId="2328A987" w14:textId="77777777" w:rsidR="00823AB9" w:rsidRPr="005142B9" w:rsidRDefault="00823AB9" w:rsidP="00823AB9">
      <w:pPr>
        <w:tabs>
          <w:tab w:val="num" w:pos="720"/>
        </w:tabs>
        <w:spacing w:before="0"/>
        <w:rPr>
          <w:lang w:eastAsia="fr-FR"/>
        </w:rPr>
      </w:pPr>
    </w:p>
    <w:p w14:paraId="49237857" w14:textId="77777777" w:rsidR="00AC74E8" w:rsidRPr="00B22273" w:rsidRDefault="00AC74E8" w:rsidP="00AC74E8">
      <w:pPr>
        <w:spacing w:before="240"/>
        <w:rPr>
          <w:b/>
          <w:bCs/>
          <w:sz w:val="24"/>
          <w:szCs w:val="28"/>
          <w:lang w:eastAsia="fr-FR"/>
        </w:rPr>
      </w:pPr>
      <w:r w:rsidRPr="00B22273">
        <w:rPr>
          <w:b/>
          <w:bCs/>
          <w:color w:val="FFFFFF" w:themeColor="background1"/>
          <w:sz w:val="24"/>
          <w:szCs w:val="28"/>
          <w:highlight w:val="red"/>
          <w:lang w:eastAsia="fr-FR"/>
        </w:rPr>
        <w:lastRenderedPageBreak/>
        <w:t xml:space="preserve">Doc. </w:t>
      </w:r>
      <w:proofErr w:type="gramStart"/>
      <w:r w:rsidRPr="00B22273">
        <w:rPr>
          <w:b/>
          <w:bCs/>
          <w:color w:val="FFFFFF" w:themeColor="background1"/>
          <w:sz w:val="24"/>
          <w:szCs w:val="28"/>
          <w:highlight w:val="red"/>
          <w:lang w:eastAsia="fr-FR"/>
        </w:rPr>
        <w:t xml:space="preserve">1 </w:t>
      </w:r>
      <w:r w:rsidRPr="00B22273">
        <w:rPr>
          <w:b/>
          <w:bCs/>
          <w:sz w:val="24"/>
          <w:szCs w:val="28"/>
          <w:lang w:eastAsia="fr-FR"/>
        </w:rPr>
        <w:t xml:space="preserve"> Extraits</w:t>
      </w:r>
      <w:proofErr w:type="gramEnd"/>
      <w:r w:rsidRPr="00B22273">
        <w:rPr>
          <w:b/>
          <w:bCs/>
          <w:sz w:val="24"/>
          <w:szCs w:val="28"/>
          <w:lang w:eastAsia="fr-FR"/>
        </w:rPr>
        <w:t xml:space="preserve"> du référentiel ISO 9001</w:t>
      </w:r>
    </w:p>
    <w:p w14:paraId="70CC8DE0" w14:textId="77777777" w:rsidR="00AC74E8" w:rsidRPr="00B22273" w:rsidRDefault="00AC74E8" w:rsidP="00AC74E8">
      <w:pPr>
        <w:rPr>
          <w:lang w:eastAsia="fr-FR"/>
        </w:rPr>
      </w:pPr>
      <w:r w:rsidRPr="00B22273">
        <w:rPr>
          <w:lang w:eastAsia="fr-FR"/>
        </w:rPr>
        <w:t xml:space="preserve">Le référentiel ISO 9001 définit un ensemble d’exigences qui visent à mettre en place un </w:t>
      </w:r>
      <w:r w:rsidRPr="00B22273">
        <w:rPr>
          <w:b/>
          <w:bCs/>
          <w:lang w:eastAsia="fr-FR"/>
        </w:rPr>
        <w:t>système de management de la qualité (SMQ)</w:t>
      </w:r>
      <w:r w:rsidRPr="00B22273">
        <w:rPr>
          <w:lang w:eastAsia="fr-FR"/>
        </w:rPr>
        <w:t xml:space="preserve"> dans les organisations, quelle que soit leur taille ou leur secteur d’activité.</w:t>
      </w:r>
    </w:p>
    <w:p w14:paraId="726BB645" w14:textId="77777777" w:rsidR="00AC74E8" w:rsidRPr="00B22273" w:rsidRDefault="00AC74E8" w:rsidP="00AC74E8">
      <w:pPr>
        <w:numPr>
          <w:ilvl w:val="0"/>
          <w:numId w:val="18"/>
        </w:numPr>
        <w:tabs>
          <w:tab w:val="num" w:pos="720"/>
        </w:tabs>
        <w:rPr>
          <w:sz w:val="22"/>
          <w:szCs w:val="24"/>
          <w:lang w:eastAsia="fr-FR"/>
        </w:rPr>
      </w:pPr>
      <w:r w:rsidRPr="00B22273">
        <w:rPr>
          <w:b/>
          <w:bCs/>
          <w:sz w:val="22"/>
          <w:szCs w:val="24"/>
          <w:lang w:eastAsia="fr-FR"/>
        </w:rPr>
        <w:t>Management de la qualité</w:t>
      </w:r>
    </w:p>
    <w:p w14:paraId="293C647D" w14:textId="77777777" w:rsidR="00AC74E8" w:rsidRPr="00B22273" w:rsidRDefault="00AC74E8" w:rsidP="0029162E">
      <w:pPr>
        <w:numPr>
          <w:ilvl w:val="0"/>
          <w:numId w:val="19"/>
        </w:numPr>
        <w:spacing w:before="0"/>
        <w:ind w:left="714" w:hanging="357"/>
        <w:jc w:val="left"/>
        <w:rPr>
          <w:lang w:eastAsia="fr-FR"/>
        </w:rPr>
      </w:pPr>
      <w:r w:rsidRPr="00B22273">
        <w:rPr>
          <w:lang w:eastAsia="fr-FR"/>
        </w:rPr>
        <w:t>La direction doit démontrer son engagement à travers une politique qualité formalisée, diffusée à l’ensemble du personnel et régulièrement actualisée.</w:t>
      </w:r>
    </w:p>
    <w:p w14:paraId="0CE7C6C9" w14:textId="77777777" w:rsidR="00AC74E8" w:rsidRPr="00B22273" w:rsidRDefault="00AC74E8" w:rsidP="0029162E">
      <w:pPr>
        <w:numPr>
          <w:ilvl w:val="0"/>
          <w:numId w:val="19"/>
        </w:numPr>
        <w:spacing w:before="0"/>
        <w:ind w:left="714" w:hanging="357"/>
        <w:jc w:val="left"/>
        <w:rPr>
          <w:lang w:eastAsia="fr-FR"/>
        </w:rPr>
      </w:pPr>
      <w:r w:rsidRPr="00B22273">
        <w:rPr>
          <w:lang w:eastAsia="fr-FR"/>
        </w:rPr>
        <w:t xml:space="preserve">Des objectifs </w:t>
      </w:r>
      <w:proofErr w:type="gramStart"/>
      <w:r w:rsidRPr="00B22273">
        <w:rPr>
          <w:lang w:eastAsia="fr-FR"/>
        </w:rPr>
        <w:t>qualité mesurables</w:t>
      </w:r>
      <w:proofErr w:type="gramEnd"/>
      <w:r w:rsidRPr="00B22273">
        <w:rPr>
          <w:lang w:eastAsia="fr-FR"/>
        </w:rPr>
        <w:t xml:space="preserve"> doivent être définis et suivis, afin d’évaluer la progression de l’entreprise dans le temps.</w:t>
      </w:r>
    </w:p>
    <w:p w14:paraId="32C1C96A" w14:textId="77777777" w:rsidR="00AC74E8" w:rsidRPr="00B22273" w:rsidRDefault="00AC74E8" w:rsidP="0029162E">
      <w:pPr>
        <w:numPr>
          <w:ilvl w:val="0"/>
          <w:numId w:val="19"/>
        </w:numPr>
        <w:spacing w:before="0"/>
        <w:ind w:left="714" w:hanging="357"/>
        <w:jc w:val="left"/>
        <w:rPr>
          <w:lang w:eastAsia="fr-FR"/>
        </w:rPr>
      </w:pPr>
      <w:r w:rsidRPr="00B22273">
        <w:rPr>
          <w:lang w:eastAsia="fr-FR"/>
        </w:rPr>
        <w:t>L’implication de la direction est indispensable pour instaurer une culture qualité.</w:t>
      </w:r>
    </w:p>
    <w:p w14:paraId="4F58AA6B" w14:textId="77777777" w:rsidR="00AC74E8" w:rsidRPr="00B22273" w:rsidRDefault="00AC74E8" w:rsidP="0029162E">
      <w:pPr>
        <w:numPr>
          <w:ilvl w:val="0"/>
          <w:numId w:val="18"/>
        </w:numPr>
        <w:tabs>
          <w:tab w:val="num" w:pos="720"/>
        </w:tabs>
        <w:jc w:val="left"/>
        <w:rPr>
          <w:b/>
          <w:bCs/>
          <w:sz w:val="22"/>
          <w:szCs w:val="24"/>
          <w:lang w:eastAsia="fr-FR"/>
        </w:rPr>
      </w:pPr>
      <w:r w:rsidRPr="00B22273">
        <w:rPr>
          <w:b/>
          <w:bCs/>
          <w:sz w:val="22"/>
          <w:szCs w:val="24"/>
          <w:lang w:eastAsia="fr-FR"/>
        </w:rPr>
        <w:t>Maîtrise documentaire</w:t>
      </w:r>
    </w:p>
    <w:p w14:paraId="178EAC95" w14:textId="77777777" w:rsidR="00AC74E8" w:rsidRPr="00B22273" w:rsidRDefault="00AC74E8" w:rsidP="0029162E">
      <w:pPr>
        <w:numPr>
          <w:ilvl w:val="0"/>
          <w:numId w:val="20"/>
        </w:numPr>
        <w:spacing w:before="0"/>
        <w:ind w:left="714" w:hanging="357"/>
        <w:jc w:val="left"/>
        <w:rPr>
          <w:lang w:eastAsia="fr-FR"/>
        </w:rPr>
      </w:pPr>
      <w:r w:rsidRPr="00B22273">
        <w:rPr>
          <w:lang w:eastAsia="fr-FR"/>
        </w:rPr>
        <w:t>Toutes les procédures, instructions et modes opératoires doivent être rédigés, validés et mis à jour.</w:t>
      </w:r>
    </w:p>
    <w:p w14:paraId="577F7E35" w14:textId="77777777" w:rsidR="00AC74E8" w:rsidRPr="00B22273" w:rsidRDefault="00AC74E8" w:rsidP="0029162E">
      <w:pPr>
        <w:numPr>
          <w:ilvl w:val="0"/>
          <w:numId w:val="20"/>
        </w:numPr>
        <w:spacing w:before="0"/>
        <w:ind w:left="714" w:hanging="357"/>
        <w:jc w:val="left"/>
        <w:rPr>
          <w:lang w:eastAsia="fr-FR"/>
        </w:rPr>
      </w:pPr>
      <w:r w:rsidRPr="00B22273">
        <w:rPr>
          <w:lang w:eastAsia="fr-FR"/>
        </w:rPr>
        <w:t>Les documents doivent être facilement accessibles au personnel concerné.</w:t>
      </w:r>
    </w:p>
    <w:p w14:paraId="5119AC4B" w14:textId="77777777" w:rsidR="00AC74E8" w:rsidRPr="00B22273" w:rsidRDefault="00AC74E8" w:rsidP="0029162E">
      <w:pPr>
        <w:numPr>
          <w:ilvl w:val="0"/>
          <w:numId w:val="20"/>
        </w:numPr>
        <w:spacing w:before="0"/>
        <w:ind w:left="714" w:hanging="357"/>
        <w:jc w:val="left"/>
        <w:rPr>
          <w:lang w:eastAsia="fr-FR"/>
        </w:rPr>
      </w:pPr>
      <w:r w:rsidRPr="00B22273">
        <w:rPr>
          <w:lang w:eastAsia="fr-FR"/>
        </w:rPr>
        <w:t>Les versions obsolètes doivent être retirées afin d’éviter des confusions.</w:t>
      </w:r>
    </w:p>
    <w:p w14:paraId="60F38872" w14:textId="77777777" w:rsidR="00AC74E8" w:rsidRPr="00B22273" w:rsidRDefault="00AC74E8" w:rsidP="0029162E">
      <w:pPr>
        <w:numPr>
          <w:ilvl w:val="0"/>
          <w:numId w:val="18"/>
        </w:numPr>
        <w:tabs>
          <w:tab w:val="num" w:pos="720"/>
        </w:tabs>
        <w:jc w:val="left"/>
        <w:rPr>
          <w:b/>
          <w:bCs/>
          <w:sz w:val="22"/>
          <w:szCs w:val="24"/>
          <w:lang w:eastAsia="fr-FR"/>
        </w:rPr>
      </w:pPr>
      <w:r w:rsidRPr="00B22273">
        <w:rPr>
          <w:b/>
          <w:bCs/>
          <w:sz w:val="22"/>
          <w:szCs w:val="24"/>
          <w:lang w:eastAsia="fr-FR"/>
        </w:rPr>
        <w:t>Processus de production</w:t>
      </w:r>
    </w:p>
    <w:p w14:paraId="79C65706" w14:textId="77777777" w:rsidR="00AC74E8" w:rsidRPr="00B22273" w:rsidRDefault="00AC74E8" w:rsidP="0029162E">
      <w:pPr>
        <w:numPr>
          <w:ilvl w:val="0"/>
          <w:numId w:val="20"/>
        </w:numPr>
        <w:spacing w:before="0"/>
        <w:ind w:left="714" w:hanging="357"/>
        <w:jc w:val="left"/>
        <w:rPr>
          <w:lang w:eastAsia="fr-FR"/>
        </w:rPr>
      </w:pPr>
      <w:r w:rsidRPr="00B22273">
        <w:rPr>
          <w:lang w:eastAsia="fr-FR"/>
        </w:rPr>
        <w:t>Les équipements de production doivent être entretenus et vérifiés régulièrement.</w:t>
      </w:r>
    </w:p>
    <w:p w14:paraId="49058AAC" w14:textId="77777777" w:rsidR="00AC74E8" w:rsidRPr="00B22273" w:rsidRDefault="00AC74E8" w:rsidP="0029162E">
      <w:pPr>
        <w:numPr>
          <w:ilvl w:val="0"/>
          <w:numId w:val="20"/>
        </w:numPr>
        <w:spacing w:before="0"/>
        <w:ind w:left="714" w:hanging="357"/>
        <w:jc w:val="left"/>
        <w:rPr>
          <w:lang w:eastAsia="fr-FR"/>
        </w:rPr>
      </w:pPr>
      <w:r w:rsidRPr="00B22273">
        <w:rPr>
          <w:lang w:eastAsia="fr-FR"/>
        </w:rPr>
        <w:t>Chaque étape critique de fabrication doit être accompagnée d’un contrôle qualité documenté.</w:t>
      </w:r>
    </w:p>
    <w:p w14:paraId="74A5CE4F" w14:textId="77777777" w:rsidR="00AC74E8" w:rsidRPr="00B22273" w:rsidRDefault="00AC74E8" w:rsidP="0029162E">
      <w:pPr>
        <w:numPr>
          <w:ilvl w:val="0"/>
          <w:numId w:val="20"/>
        </w:numPr>
        <w:spacing w:before="0"/>
        <w:ind w:left="714" w:hanging="357"/>
        <w:jc w:val="left"/>
        <w:rPr>
          <w:lang w:eastAsia="fr-FR"/>
        </w:rPr>
      </w:pPr>
      <w:r w:rsidRPr="00B22273">
        <w:rPr>
          <w:lang w:eastAsia="fr-FR"/>
        </w:rPr>
        <w:t>Les fiches de suivi constituent une preuve de conformité et doivent être conservées.</w:t>
      </w:r>
    </w:p>
    <w:p w14:paraId="17E8A723" w14:textId="77777777" w:rsidR="00AC74E8" w:rsidRPr="00B22273" w:rsidRDefault="00AC74E8" w:rsidP="0029162E">
      <w:pPr>
        <w:numPr>
          <w:ilvl w:val="0"/>
          <w:numId w:val="18"/>
        </w:numPr>
        <w:tabs>
          <w:tab w:val="num" w:pos="720"/>
        </w:tabs>
        <w:jc w:val="left"/>
        <w:rPr>
          <w:b/>
          <w:bCs/>
          <w:sz w:val="22"/>
          <w:szCs w:val="24"/>
          <w:lang w:eastAsia="fr-FR"/>
        </w:rPr>
      </w:pPr>
      <w:r w:rsidRPr="00B22273">
        <w:rPr>
          <w:b/>
          <w:bCs/>
          <w:sz w:val="22"/>
          <w:szCs w:val="24"/>
          <w:lang w:eastAsia="fr-FR"/>
        </w:rPr>
        <w:t>Satisfaction client</w:t>
      </w:r>
    </w:p>
    <w:p w14:paraId="536095B2" w14:textId="77777777" w:rsidR="00AC74E8" w:rsidRPr="00B22273" w:rsidRDefault="00AC74E8" w:rsidP="0029162E">
      <w:pPr>
        <w:numPr>
          <w:ilvl w:val="0"/>
          <w:numId w:val="20"/>
        </w:numPr>
        <w:spacing w:before="0"/>
        <w:ind w:left="714" w:hanging="357"/>
        <w:jc w:val="left"/>
        <w:rPr>
          <w:lang w:eastAsia="fr-FR"/>
        </w:rPr>
      </w:pPr>
      <w:r w:rsidRPr="00B22273">
        <w:rPr>
          <w:lang w:eastAsia="fr-FR"/>
        </w:rPr>
        <w:t>L’entreprise doit organiser le recueil, le traitement et l’analyse des réclamations clients.</w:t>
      </w:r>
    </w:p>
    <w:p w14:paraId="3B5BBF68" w14:textId="77777777" w:rsidR="00AC74E8" w:rsidRPr="00B22273" w:rsidRDefault="00AC74E8" w:rsidP="0029162E">
      <w:pPr>
        <w:numPr>
          <w:ilvl w:val="0"/>
          <w:numId w:val="20"/>
        </w:numPr>
        <w:spacing w:before="0"/>
        <w:ind w:left="714" w:hanging="357"/>
        <w:jc w:val="left"/>
        <w:rPr>
          <w:lang w:eastAsia="fr-FR"/>
        </w:rPr>
      </w:pPr>
      <w:r w:rsidRPr="00B22273">
        <w:rPr>
          <w:lang w:eastAsia="fr-FR"/>
        </w:rPr>
        <w:t>Un tableau de suivi doit permettre de mesurer le nombre, le type et la gravité des réclamations.</w:t>
      </w:r>
    </w:p>
    <w:p w14:paraId="49CAC848" w14:textId="77777777" w:rsidR="00AC74E8" w:rsidRPr="00B22273" w:rsidRDefault="00AC74E8" w:rsidP="0029162E">
      <w:pPr>
        <w:numPr>
          <w:ilvl w:val="0"/>
          <w:numId w:val="20"/>
        </w:numPr>
        <w:spacing w:before="0"/>
        <w:ind w:left="714" w:hanging="357"/>
        <w:jc w:val="left"/>
        <w:rPr>
          <w:lang w:eastAsia="fr-FR"/>
        </w:rPr>
      </w:pPr>
      <w:r w:rsidRPr="00B22273">
        <w:rPr>
          <w:lang w:eastAsia="fr-FR"/>
        </w:rPr>
        <w:t>Les actions correctives et préventives doivent être définies et suivies.</w:t>
      </w:r>
    </w:p>
    <w:p w14:paraId="03724149" w14:textId="77777777" w:rsidR="00AC74E8" w:rsidRPr="00B22273" w:rsidRDefault="00AC74E8" w:rsidP="0029162E">
      <w:pPr>
        <w:numPr>
          <w:ilvl w:val="0"/>
          <w:numId w:val="18"/>
        </w:numPr>
        <w:tabs>
          <w:tab w:val="num" w:pos="720"/>
        </w:tabs>
        <w:jc w:val="left"/>
        <w:rPr>
          <w:b/>
          <w:bCs/>
          <w:sz w:val="22"/>
          <w:szCs w:val="24"/>
          <w:lang w:eastAsia="fr-FR"/>
        </w:rPr>
      </w:pPr>
      <w:r w:rsidRPr="00B22273">
        <w:rPr>
          <w:b/>
          <w:bCs/>
          <w:sz w:val="22"/>
          <w:szCs w:val="24"/>
          <w:lang w:eastAsia="fr-FR"/>
        </w:rPr>
        <w:t>Amélioration continue</w:t>
      </w:r>
    </w:p>
    <w:p w14:paraId="513F39CD" w14:textId="77777777" w:rsidR="00AC74E8" w:rsidRPr="00B22273" w:rsidRDefault="00AC74E8" w:rsidP="0029162E">
      <w:pPr>
        <w:numPr>
          <w:ilvl w:val="0"/>
          <w:numId w:val="20"/>
        </w:numPr>
        <w:spacing w:before="0"/>
        <w:ind w:left="714" w:hanging="357"/>
        <w:jc w:val="left"/>
        <w:rPr>
          <w:lang w:eastAsia="fr-FR"/>
        </w:rPr>
      </w:pPr>
      <w:r w:rsidRPr="00B22273">
        <w:rPr>
          <w:lang w:eastAsia="fr-FR"/>
        </w:rPr>
        <w:t>L’entreprise doit disposer d’indicateurs pertinents : taux de retours produits, respect des délais de livraison, conformité des lots, etc.</w:t>
      </w:r>
    </w:p>
    <w:p w14:paraId="019954BA" w14:textId="77777777" w:rsidR="00AC74E8" w:rsidRPr="00B22273" w:rsidRDefault="00AC74E8" w:rsidP="0029162E">
      <w:pPr>
        <w:numPr>
          <w:ilvl w:val="0"/>
          <w:numId w:val="20"/>
        </w:numPr>
        <w:spacing w:before="0"/>
        <w:ind w:left="714" w:hanging="357"/>
        <w:jc w:val="left"/>
        <w:rPr>
          <w:lang w:eastAsia="fr-FR"/>
        </w:rPr>
      </w:pPr>
      <w:r w:rsidRPr="00B22273">
        <w:rPr>
          <w:lang w:eastAsia="fr-FR"/>
        </w:rPr>
        <w:t>Ces indicateurs doivent être analysés régulièrement en réunion qualité.</w:t>
      </w:r>
    </w:p>
    <w:p w14:paraId="72542295" w14:textId="77777777" w:rsidR="00AC74E8" w:rsidRPr="00B22273" w:rsidRDefault="00AC74E8" w:rsidP="0029162E">
      <w:pPr>
        <w:numPr>
          <w:ilvl w:val="0"/>
          <w:numId w:val="20"/>
        </w:numPr>
        <w:spacing w:before="0"/>
        <w:ind w:left="714" w:hanging="357"/>
        <w:jc w:val="left"/>
        <w:rPr>
          <w:lang w:eastAsia="fr-FR"/>
        </w:rPr>
      </w:pPr>
      <w:r w:rsidRPr="00B22273">
        <w:rPr>
          <w:lang w:eastAsia="fr-FR"/>
        </w:rPr>
        <w:t xml:space="preserve">Le cycle PDCA (Plan – Do – Check – </w:t>
      </w:r>
      <w:proofErr w:type="spellStart"/>
      <w:r w:rsidRPr="00B22273">
        <w:rPr>
          <w:lang w:eastAsia="fr-FR"/>
        </w:rPr>
        <w:t>Act</w:t>
      </w:r>
      <w:proofErr w:type="spellEnd"/>
      <w:r w:rsidRPr="00B22273">
        <w:rPr>
          <w:lang w:eastAsia="fr-FR"/>
        </w:rPr>
        <w:t>) est un outil central de cette démarche.</w:t>
      </w:r>
    </w:p>
    <w:p w14:paraId="20BFA51E" w14:textId="77777777" w:rsidR="00AC74E8" w:rsidRPr="00B22273" w:rsidRDefault="00AC74E8" w:rsidP="0029162E">
      <w:pPr>
        <w:numPr>
          <w:ilvl w:val="0"/>
          <w:numId w:val="18"/>
        </w:numPr>
        <w:tabs>
          <w:tab w:val="num" w:pos="720"/>
        </w:tabs>
        <w:jc w:val="left"/>
        <w:rPr>
          <w:b/>
          <w:bCs/>
          <w:sz w:val="22"/>
          <w:szCs w:val="24"/>
          <w:lang w:eastAsia="fr-FR"/>
        </w:rPr>
      </w:pPr>
      <w:r w:rsidRPr="00B22273">
        <w:rPr>
          <w:b/>
          <w:bCs/>
          <w:sz w:val="22"/>
          <w:szCs w:val="24"/>
          <w:lang w:eastAsia="fr-FR"/>
        </w:rPr>
        <w:t>Audits internes</w:t>
      </w:r>
    </w:p>
    <w:p w14:paraId="732E3FFE" w14:textId="77777777" w:rsidR="00AC74E8" w:rsidRPr="00B22273" w:rsidRDefault="00AC74E8" w:rsidP="00AC74E8">
      <w:pPr>
        <w:numPr>
          <w:ilvl w:val="0"/>
          <w:numId w:val="20"/>
        </w:numPr>
        <w:spacing w:before="0"/>
        <w:ind w:left="714" w:hanging="357"/>
        <w:rPr>
          <w:lang w:eastAsia="fr-FR"/>
        </w:rPr>
      </w:pPr>
      <w:r w:rsidRPr="00B22273">
        <w:rPr>
          <w:lang w:eastAsia="fr-FR"/>
        </w:rPr>
        <w:t>Ils doivent être programmés chaque année afin de vérifier la conformité et l’efficacité du SMQ.</w:t>
      </w:r>
    </w:p>
    <w:p w14:paraId="5059FA25" w14:textId="77777777" w:rsidR="00AC74E8" w:rsidRPr="00B22273" w:rsidRDefault="00AC74E8" w:rsidP="00AC74E8">
      <w:pPr>
        <w:numPr>
          <w:ilvl w:val="0"/>
          <w:numId w:val="20"/>
        </w:numPr>
        <w:spacing w:before="0"/>
        <w:ind w:left="714" w:hanging="357"/>
        <w:rPr>
          <w:lang w:eastAsia="fr-FR"/>
        </w:rPr>
      </w:pPr>
      <w:r w:rsidRPr="00B22273">
        <w:rPr>
          <w:lang w:eastAsia="fr-FR"/>
        </w:rPr>
        <w:t>Le rapport d’audit doit identifier les points forts, les écarts et les pistes d’amélioration.</w:t>
      </w:r>
    </w:p>
    <w:p w14:paraId="26DE357C" w14:textId="77777777" w:rsidR="00AC74E8" w:rsidRPr="00B22273" w:rsidRDefault="00AC74E8" w:rsidP="00AC74E8">
      <w:pPr>
        <w:numPr>
          <w:ilvl w:val="0"/>
          <w:numId w:val="20"/>
        </w:numPr>
        <w:spacing w:before="0"/>
        <w:ind w:left="714" w:hanging="357"/>
        <w:rPr>
          <w:lang w:eastAsia="fr-FR"/>
        </w:rPr>
      </w:pPr>
      <w:r w:rsidRPr="00B22273">
        <w:rPr>
          <w:lang w:eastAsia="fr-FR"/>
        </w:rPr>
        <w:t>Les résultats servent de base à un plan d’actions correctives suivi par la direction.</w:t>
      </w:r>
    </w:p>
    <w:p w14:paraId="35B699EF" w14:textId="77777777" w:rsidR="00AC74E8" w:rsidRDefault="00AC74E8" w:rsidP="00AC74E8">
      <w:pPr>
        <w:rPr>
          <w:lang w:eastAsia="fr-FR"/>
        </w:rPr>
      </w:pPr>
    </w:p>
    <w:p w14:paraId="393C2F08" w14:textId="77777777" w:rsidR="00AC74E8" w:rsidRPr="00B22273" w:rsidRDefault="00AC74E8" w:rsidP="00AC74E8">
      <w:pPr>
        <w:rPr>
          <w:b/>
          <w:bCs/>
          <w:sz w:val="24"/>
          <w:szCs w:val="28"/>
          <w:lang w:eastAsia="fr-FR"/>
        </w:rPr>
      </w:pPr>
      <w:r w:rsidRPr="00B22273">
        <w:rPr>
          <w:b/>
          <w:bCs/>
          <w:color w:val="FFFFFF" w:themeColor="background1"/>
          <w:sz w:val="24"/>
          <w:szCs w:val="28"/>
          <w:highlight w:val="red"/>
          <w:lang w:eastAsia="fr-FR"/>
        </w:rPr>
        <w:t xml:space="preserve">Doc. </w:t>
      </w:r>
      <w:proofErr w:type="gramStart"/>
      <w:r w:rsidRPr="00B22273">
        <w:rPr>
          <w:b/>
          <w:bCs/>
          <w:color w:val="FFFFFF" w:themeColor="background1"/>
          <w:sz w:val="24"/>
          <w:szCs w:val="28"/>
          <w:highlight w:val="red"/>
          <w:lang w:eastAsia="fr-FR"/>
        </w:rPr>
        <w:t xml:space="preserve">2 </w:t>
      </w:r>
      <w:r w:rsidRPr="00B22273">
        <w:rPr>
          <w:b/>
          <w:bCs/>
          <w:color w:val="FFFFFF" w:themeColor="background1"/>
          <w:sz w:val="24"/>
          <w:szCs w:val="28"/>
          <w:lang w:eastAsia="fr-FR"/>
        </w:rPr>
        <w:t xml:space="preserve"> </w:t>
      </w:r>
      <w:r w:rsidRPr="00B22273">
        <w:rPr>
          <w:b/>
          <w:bCs/>
          <w:sz w:val="24"/>
          <w:szCs w:val="28"/>
          <w:lang w:eastAsia="fr-FR"/>
        </w:rPr>
        <w:t>Extraits</w:t>
      </w:r>
      <w:proofErr w:type="gramEnd"/>
      <w:r w:rsidRPr="00B22273">
        <w:rPr>
          <w:b/>
          <w:bCs/>
          <w:sz w:val="24"/>
          <w:szCs w:val="28"/>
          <w:lang w:eastAsia="fr-FR"/>
        </w:rPr>
        <w:t xml:space="preserve"> d’entretiens réalisés lors </w:t>
      </w:r>
      <w:proofErr w:type="gramStart"/>
      <w:r w:rsidRPr="00B22273">
        <w:rPr>
          <w:b/>
          <w:bCs/>
          <w:sz w:val="24"/>
          <w:szCs w:val="28"/>
          <w:lang w:eastAsia="fr-FR"/>
        </w:rPr>
        <w:t>d’un pré-audit</w:t>
      </w:r>
      <w:r>
        <w:rPr>
          <w:b/>
          <w:bCs/>
          <w:sz w:val="24"/>
          <w:szCs w:val="28"/>
          <w:lang w:eastAsia="fr-FR"/>
        </w:rPr>
        <w:t xml:space="preserve"> regroupés</w:t>
      </w:r>
      <w:proofErr w:type="gramEnd"/>
      <w:r>
        <w:rPr>
          <w:b/>
          <w:bCs/>
          <w:sz w:val="24"/>
          <w:szCs w:val="28"/>
          <w:lang w:eastAsia="fr-FR"/>
        </w:rPr>
        <w:t xml:space="preserve"> par service</w:t>
      </w:r>
    </w:p>
    <w:p w14:paraId="54E50B24" w14:textId="77777777" w:rsidR="00AC74E8" w:rsidRPr="00B22273" w:rsidRDefault="00AC74E8" w:rsidP="00AC74E8">
      <w:pPr>
        <w:rPr>
          <w:sz w:val="22"/>
          <w:szCs w:val="24"/>
          <w:lang w:eastAsia="fr-FR"/>
        </w:rPr>
      </w:pPr>
      <w:r w:rsidRPr="00B22273">
        <w:rPr>
          <w:b/>
          <w:bCs/>
          <w:sz w:val="22"/>
          <w:szCs w:val="24"/>
          <w:lang w:eastAsia="fr-FR"/>
        </w:rPr>
        <w:t>Service Production</w:t>
      </w:r>
    </w:p>
    <w:p w14:paraId="71E9379F" w14:textId="77777777" w:rsidR="00AC74E8" w:rsidRPr="00B22273" w:rsidRDefault="00AC74E8" w:rsidP="0029162E">
      <w:pPr>
        <w:numPr>
          <w:ilvl w:val="0"/>
          <w:numId w:val="21"/>
        </w:numPr>
        <w:spacing w:before="0"/>
        <w:ind w:left="284" w:hanging="284"/>
        <w:jc w:val="left"/>
        <w:rPr>
          <w:lang w:eastAsia="fr-FR"/>
        </w:rPr>
      </w:pPr>
      <w:r w:rsidRPr="00B22273">
        <w:rPr>
          <w:lang w:eastAsia="fr-FR"/>
        </w:rPr>
        <w:t>« Nous effectuons bien les contrôles qualité à chaque lot, mais les fiches de suivi sont parfois incomplètes ou mal archivées. »</w:t>
      </w:r>
    </w:p>
    <w:p w14:paraId="1B07BCE9" w14:textId="77777777" w:rsidR="00AC74E8" w:rsidRPr="00B22273" w:rsidRDefault="00AC74E8" w:rsidP="0029162E">
      <w:pPr>
        <w:numPr>
          <w:ilvl w:val="0"/>
          <w:numId w:val="21"/>
        </w:numPr>
        <w:spacing w:before="0"/>
        <w:ind w:left="284" w:hanging="284"/>
        <w:jc w:val="left"/>
        <w:rPr>
          <w:lang w:eastAsia="fr-FR"/>
        </w:rPr>
      </w:pPr>
      <w:r w:rsidRPr="00B22273">
        <w:rPr>
          <w:lang w:eastAsia="fr-FR"/>
        </w:rPr>
        <w:t>« Certains opérateurs notent seulement “OK” sans détailler les mesures exactes. »</w:t>
      </w:r>
    </w:p>
    <w:p w14:paraId="12E6EAB9" w14:textId="77777777" w:rsidR="00AC74E8" w:rsidRPr="00B22273" w:rsidRDefault="00AC74E8" w:rsidP="0029162E">
      <w:pPr>
        <w:numPr>
          <w:ilvl w:val="0"/>
          <w:numId w:val="21"/>
        </w:numPr>
        <w:spacing w:before="0"/>
        <w:ind w:left="284" w:hanging="284"/>
        <w:jc w:val="left"/>
        <w:rPr>
          <w:lang w:eastAsia="fr-FR"/>
        </w:rPr>
      </w:pPr>
      <w:r w:rsidRPr="00B22273">
        <w:rPr>
          <w:lang w:eastAsia="fr-FR"/>
        </w:rPr>
        <w:t>« Les machines sont entretenues mais il n’y a pas toujours de trace écrite de la maintenance. »</w:t>
      </w:r>
    </w:p>
    <w:p w14:paraId="3FC777E6" w14:textId="77777777" w:rsidR="00AC74E8" w:rsidRPr="00B22273" w:rsidRDefault="00AC74E8" w:rsidP="0029162E">
      <w:pPr>
        <w:jc w:val="left"/>
        <w:rPr>
          <w:sz w:val="22"/>
          <w:szCs w:val="24"/>
          <w:lang w:eastAsia="fr-FR"/>
        </w:rPr>
      </w:pPr>
      <w:r w:rsidRPr="00B22273">
        <w:rPr>
          <w:b/>
          <w:bCs/>
          <w:sz w:val="22"/>
          <w:szCs w:val="24"/>
          <w:lang w:eastAsia="fr-FR"/>
        </w:rPr>
        <w:t>Service Logistique</w:t>
      </w:r>
    </w:p>
    <w:p w14:paraId="624F9156" w14:textId="77777777" w:rsidR="00AC74E8" w:rsidRPr="00B22273" w:rsidRDefault="00AC74E8" w:rsidP="0029162E">
      <w:pPr>
        <w:numPr>
          <w:ilvl w:val="0"/>
          <w:numId w:val="21"/>
        </w:numPr>
        <w:spacing w:before="0"/>
        <w:ind w:left="284" w:hanging="284"/>
        <w:jc w:val="left"/>
        <w:rPr>
          <w:lang w:eastAsia="fr-FR"/>
        </w:rPr>
      </w:pPr>
      <w:r w:rsidRPr="00B22273">
        <w:rPr>
          <w:lang w:eastAsia="fr-FR"/>
        </w:rPr>
        <w:t>« En cas de retard de livraison, nous informons le client par téléphone, mais nous ne faisons pas de rapport écrit. »</w:t>
      </w:r>
    </w:p>
    <w:p w14:paraId="218787D4" w14:textId="77777777" w:rsidR="00AC74E8" w:rsidRPr="00B22273" w:rsidRDefault="00AC74E8" w:rsidP="0029162E">
      <w:pPr>
        <w:numPr>
          <w:ilvl w:val="0"/>
          <w:numId w:val="21"/>
        </w:numPr>
        <w:spacing w:before="0"/>
        <w:ind w:left="284" w:hanging="284"/>
        <w:jc w:val="left"/>
        <w:rPr>
          <w:lang w:eastAsia="fr-FR"/>
        </w:rPr>
      </w:pPr>
      <w:r w:rsidRPr="00B22273">
        <w:rPr>
          <w:lang w:eastAsia="fr-FR"/>
        </w:rPr>
        <w:t>« Cela nous empêche de suivre précisément les causes récurrentes de retard. »</w:t>
      </w:r>
    </w:p>
    <w:p w14:paraId="6772A5F5" w14:textId="77777777" w:rsidR="00AC74E8" w:rsidRPr="00B22273" w:rsidRDefault="00AC74E8" w:rsidP="0029162E">
      <w:pPr>
        <w:numPr>
          <w:ilvl w:val="0"/>
          <w:numId w:val="21"/>
        </w:numPr>
        <w:spacing w:before="0"/>
        <w:ind w:left="284" w:hanging="284"/>
        <w:jc w:val="left"/>
        <w:rPr>
          <w:lang w:eastAsia="fr-FR"/>
        </w:rPr>
      </w:pPr>
      <w:r w:rsidRPr="00B22273">
        <w:rPr>
          <w:lang w:eastAsia="fr-FR"/>
        </w:rPr>
        <w:t>« Les procédures de stockage sont connues de tous, mais elles ne sont pas affichées dans l’entrepôt. »</w:t>
      </w:r>
    </w:p>
    <w:p w14:paraId="34558EF5" w14:textId="77777777" w:rsidR="00AC74E8" w:rsidRPr="00B22273" w:rsidRDefault="00AC74E8" w:rsidP="0029162E">
      <w:pPr>
        <w:jc w:val="left"/>
        <w:rPr>
          <w:sz w:val="22"/>
          <w:szCs w:val="24"/>
          <w:lang w:eastAsia="fr-FR"/>
        </w:rPr>
      </w:pPr>
      <w:r w:rsidRPr="00B22273">
        <w:rPr>
          <w:b/>
          <w:bCs/>
          <w:sz w:val="22"/>
          <w:szCs w:val="24"/>
          <w:lang w:eastAsia="fr-FR"/>
        </w:rPr>
        <w:t>Service Client</w:t>
      </w:r>
    </w:p>
    <w:p w14:paraId="515A1682" w14:textId="77777777" w:rsidR="00AC74E8" w:rsidRPr="00B22273" w:rsidRDefault="00AC74E8" w:rsidP="0029162E">
      <w:pPr>
        <w:numPr>
          <w:ilvl w:val="0"/>
          <w:numId w:val="21"/>
        </w:numPr>
        <w:spacing w:before="0"/>
        <w:ind w:left="284" w:hanging="284"/>
        <w:jc w:val="left"/>
        <w:rPr>
          <w:lang w:eastAsia="fr-FR"/>
        </w:rPr>
      </w:pPr>
      <w:r w:rsidRPr="00B22273">
        <w:rPr>
          <w:lang w:eastAsia="fr-FR"/>
        </w:rPr>
        <w:t>« Les réclamations sont traitées rapidement, mais elles ne sont pas centralisées. »</w:t>
      </w:r>
    </w:p>
    <w:p w14:paraId="081E5A56" w14:textId="77777777" w:rsidR="00AC74E8" w:rsidRPr="00B22273" w:rsidRDefault="00AC74E8" w:rsidP="0029162E">
      <w:pPr>
        <w:numPr>
          <w:ilvl w:val="0"/>
          <w:numId w:val="21"/>
        </w:numPr>
        <w:spacing w:before="0"/>
        <w:ind w:left="284" w:hanging="284"/>
        <w:jc w:val="left"/>
        <w:rPr>
          <w:lang w:eastAsia="fr-FR"/>
        </w:rPr>
      </w:pPr>
      <w:r w:rsidRPr="00B22273">
        <w:rPr>
          <w:lang w:eastAsia="fr-FR"/>
        </w:rPr>
        <w:t>« Chaque conseiller gère son dossier sans transmettre d’informations globales. »</w:t>
      </w:r>
    </w:p>
    <w:p w14:paraId="0F7C584E" w14:textId="77777777" w:rsidR="00AC74E8" w:rsidRPr="00B22273" w:rsidRDefault="00AC74E8" w:rsidP="0029162E">
      <w:pPr>
        <w:numPr>
          <w:ilvl w:val="0"/>
          <w:numId w:val="21"/>
        </w:numPr>
        <w:spacing w:before="0"/>
        <w:ind w:left="284" w:hanging="284"/>
        <w:jc w:val="left"/>
        <w:rPr>
          <w:lang w:eastAsia="fr-FR"/>
        </w:rPr>
      </w:pPr>
      <w:r w:rsidRPr="00B22273">
        <w:rPr>
          <w:lang w:eastAsia="fr-FR"/>
        </w:rPr>
        <w:t>« Nous n’avons pas d’indicateurs pour mesurer l’évolution du taux de réclamations. »</w:t>
      </w:r>
    </w:p>
    <w:p w14:paraId="3054719E" w14:textId="77777777" w:rsidR="00AC74E8" w:rsidRPr="00B22273" w:rsidRDefault="00AC74E8" w:rsidP="0029162E">
      <w:pPr>
        <w:jc w:val="left"/>
        <w:rPr>
          <w:sz w:val="22"/>
          <w:szCs w:val="24"/>
          <w:lang w:eastAsia="fr-FR"/>
        </w:rPr>
      </w:pPr>
      <w:r w:rsidRPr="00B22273">
        <w:rPr>
          <w:b/>
          <w:bCs/>
          <w:sz w:val="22"/>
          <w:szCs w:val="24"/>
          <w:lang w:eastAsia="fr-FR"/>
        </w:rPr>
        <w:t>Service Recherche &amp; Développement (R&amp;D)</w:t>
      </w:r>
    </w:p>
    <w:p w14:paraId="3297869A" w14:textId="77777777" w:rsidR="00AC74E8" w:rsidRPr="00B22273" w:rsidRDefault="00AC74E8" w:rsidP="00426D47">
      <w:pPr>
        <w:numPr>
          <w:ilvl w:val="0"/>
          <w:numId w:val="21"/>
        </w:numPr>
        <w:spacing w:before="0"/>
        <w:ind w:left="284" w:hanging="284"/>
        <w:jc w:val="left"/>
        <w:rPr>
          <w:lang w:eastAsia="fr-FR"/>
        </w:rPr>
      </w:pPr>
      <w:r w:rsidRPr="00B22273">
        <w:rPr>
          <w:lang w:eastAsia="fr-FR"/>
        </w:rPr>
        <w:t>« Nos prototypes suivent un protocole de validation, mais nous n’avons pas de tableau qui retrace toutes les étapes. »</w:t>
      </w:r>
    </w:p>
    <w:p w14:paraId="7A13915E" w14:textId="77777777" w:rsidR="00AC74E8" w:rsidRPr="00B22273" w:rsidRDefault="00AC74E8" w:rsidP="00426D47">
      <w:pPr>
        <w:numPr>
          <w:ilvl w:val="0"/>
          <w:numId w:val="21"/>
        </w:numPr>
        <w:spacing w:before="0"/>
        <w:ind w:left="284" w:hanging="284"/>
        <w:jc w:val="left"/>
        <w:rPr>
          <w:lang w:eastAsia="fr-FR"/>
        </w:rPr>
      </w:pPr>
      <w:r w:rsidRPr="00B22273">
        <w:rPr>
          <w:lang w:eastAsia="fr-FR"/>
        </w:rPr>
        <w:t>« Nous utilisons des fichiers Excel personnels, ce qui rend le partage d’informations difficile. »</w:t>
      </w:r>
    </w:p>
    <w:p w14:paraId="5BBCB1AB" w14:textId="77777777" w:rsidR="00AC74E8" w:rsidRPr="00B22273" w:rsidRDefault="00AC74E8" w:rsidP="0029162E">
      <w:pPr>
        <w:jc w:val="left"/>
        <w:rPr>
          <w:sz w:val="22"/>
          <w:szCs w:val="24"/>
          <w:lang w:eastAsia="fr-FR"/>
        </w:rPr>
      </w:pPr>
      <w:r w:rsidRPr="00B22273">
        <w:rPr>
          <w:b/>
          <w:bCs/>
          <w:sz w:val="22"/>
          <w:szCs w:val="24"/>
          <w:lang w:eastAsia="fr-FR"/>
        </w:rPr>
        <w:t>Direction</w:t>
      </w:r>
    </w:p>
    <w:p w14:paraId="70F8C3F6" w14:textId="77777777" w:rsidR="00AC74E8" w:rsidRPr="00B22273" w:rsidRDefault="00AC74E8" w:rsidP="0029162E">
      <w:pPr>
        <w:numPr>
          <w:ilvl w:val="0"/>
          <w:numId w:val="21"/>
        </w:numPr>
        <w:spacing w:before="0"/>
        <w:ind w:left="284" w:hanging="284"/>
        <w:jc w:val="left"/>
        <w:rPr>
          <w:lang w:eastAsia="fr-FR"/>
        </w:rPr>
      </w:pPr>
      <w:r w:rsidRPr="00B22273">
        <w:rPr>
          <w:lang w:eastAsia="fr-FR"/>
        </w:rPr>
        <w:t>« La politique qualité date de deux ans et n’a pas été révisée depuis. »</w:t>
      </w:r>
    </w:p>
    <w:p w14:paraId="1282A237" w14:textId="77777777" w:rsidR="00AC74E8" w:rsidRPr="00B22273" w:rsidRDefault="00AC74E8" w:rsidP="0029162E">
      <w:pPr>
        <w:numPr>
          <w:ilvl w:val="0"/>
          <w:numId w:val="21"/>
        </w:numPr>
        <w:spacing w:before="0"/>
        <w:ind w:left="284" w:hanging="284"/>
        <w:jc w:val="left"/>
        <w:rPr>
          <w:lang w:eastAsia="fr-FR"/>
        </w:rPr>
      </w:pPr>
      <w:r w:rsidRPr="00B22273">
        <w:rPr>
          <w:lang w:eastAsia="fr-FR"/>
        </w:rPr>
        <w:t>« Les nouveaux salariés n’ont jamais reçu de présentation formelle de cette politique. »</w:t>
      </w:r>
    </w:p>
    <w:p w14:paraId="3895D68C" w14:textId="77777777" w:rsidR="00AC74E8" w:rsidRDefault="00AC74E8" w:rsidP="0029162E">
      <w:pPr>
        <w:numPr>
          <w:ilvl w:val="0"/>
          <w:numId w:val="21"/>
        </w:numPr>
        <w:spacing w:before="0"/>
        <w:ind w:left="284" w:hanging="284"/>
        <w:jc w:val="left"/>
        <w:rPr>
          <w:lang w:eastAsia="fr-FR"/>
        </w:rPr>
      </w:pPr>
      <w:r w:rsidRPr="00B22273">
        <w:rPr>
          <w:lang w:eastAsia="fr-FR"/>
        </w:rPr>
        <w:t>« Le comité qualité n’a pas été réuni depuis six mois, faute de temps. »</w:t>
      </w:r>
    </w:p>
    <w:p w14:paraId="67548609" w14:textId="77777777" w:rsidR="00AC74E8" w:rsidRDefault="00AC74E8" w:rsidP="0029162E">
      <w:pPr>
        <w:spacing w:before="0"/>
        <w:jc w:val="left"/>
        <w:rPr>
          <w:lang w:eastAsia="fr-FR"/>
        </w:rPr>
      </w:pPr>
    </w:p>
    <w:p w14:paraId="5C5B41BB" w14:textId="77777777" w:rsidR="00AC74E8" w:rsidRPr="00A76A71" w:rsidRDefault="00AC74E8" w:rsidP="0029162E">
      <w:pPr>
        <w:spacing w:before="240"/>
        <w:jc w:val="left"/>
        <w:rPr>
          <w:b/>
          <w:bCs/>
          <w:sz w:val="24"/>
          <w:szCs w:val="28"/>
          <w:lang w:eastAsia="fr-FR"/>
        </w:rPr>
      </w:pPr>
      <w:r w:rsidRPr="00B22273">
        <w:rPr>
          <w:b/>
          <w:bCs/>
          <w:color w:val="FFFFFF" w:themeColor="background1"/>
          <w:sz w:val="24"/>
          <w:szCs w:val="28"/>
          <w:highlight w:val="red"/>
          <w:lang w:eastAsia="fr-FR"/>
        </w:rPr>
        <w:lastRenderedPageBreak/>
        <w:t xml:space="preserve">Doc. </w:t>
      </w:r>
      <w:proofErr w:type="gramStart"/>
      <w:r>
        <w:rPr>
          <w:b/>
          <w:bCs/>
          <w:color w:val="FFFFFF" w:themeColor="background1"/>
          <w:sz w:val="24"/>
          <w:szCs w:val="28"/>
          <w:highlight w:val="red"/>
          <w:lang w:eastAsia="fr-FR"/>
        </w:rPr>
        <w:t xml:space="preserve">3 </w:t>
      </w:r>
      <w:r w:rsidRPr="00A76A71">
        <w:rPr>
          <w:b/>
          <w:bCs/>
          <w:sz w:val="24"/>
          <w:szCs w:val="28"/>
          <w:lang w:eastAsia="fr-FR"/>
        </w:rPr>
        <w:t xml:space="preserve"> Les</w:t>
      </w:r>
      <w:proofErr w:type="gramEnd"/>
      <w:r w:rsidRPr="00A76A71">
        <w:rPr>
          <w:b/>
          <w:bCs/>
          <w:sz w:val="24"/>
          <w:szCs w:val="28"/>
          <w:lang w:eastAsia="fr-FR"/>
        </w:rPr>
        <w:t xml:space="preserve"> étapes d’une démarche qualité dans l’entreprise</w:t>
      </w:r>
    </w:p>
    <w:p w14:paraId="33F59D38" w14:textId="77777777" w:rsidR="00AC74E8" w:rsidRPr="00A76A71" w:rsidRDefault="00AC74E8" w:rsidP="0029162E">
      <w:pPr>
        <w:jc w:val="left"/>
        <w:rPr>
          <w:lang w:eastAsia="fr-FR"/>
        </w:rPr>
      </w:pPr>
      <w:r w:rsidRPr="00A76A71">
        <w:rPr>
          <w:lang w:eastAsia="fr-FR"/>
        </w:rPr>
        <w:t>La mise en place d’une démarche qualité repose sur un enchaînement d’étapes structurées. Elle doit être progressive, réaliste et adaptée aux spécificités de l’organisation.</w:t>
      </w:r>
    </w:p>
    <w:p w14:paraId="709D319A" w14:textId="77777777" w:rsidR="00AC74E8" w:rsidRPr="003B05DA" w:rsidRDefault="00AC74E8" w:rsidP="0029162E">
      <w:pPr>
        <w:numPr>
          <w:ilvl w:val="0"/>
          <w:numId w:val="22"/>
        </w:numPr>
        <w:jc w:val="left"/>
        <w:rPr>
          <w:sz w:val="22"/>
          <w:lang w:eastAsia="fr-FR"/>
        </w:rPr>
      </w:pPr>
      <w:r w:rsidRPr="003B05DA">
        <w:rPr>
          <w:b/>
          <w:bCs/>
          <w:sz w:val="22"/>
          <w:lang w:eastAsia="fr-FR"/>
        </w:rPr>
        <w:t>Décision de la direction et engagement managérial</w:t>
      </w:r>
    </w:p>
    <w:p w14:paraId="5984CCFE" w14:textId="77777777" w:rsidR="00AC74E8" w:rsidRPr="00A76A71" w:rsidRDefault="00AC74E8" w:rsidP="0029162E">
      <w:pPr>
        <w:jc w:val="left"/>
        <w:rPr>
          <w:lang w:eastAsia="fr-FR"/>
        </w:rPr>
      </w:pPr>
      <w:r w:rsidRPr="00A76A71">
        <w:rPr>
          <w:lang w:eastAsia="fr-FR"/>
        </w:rPr>
        <w:t>Toute démarche qualité commence par une décision stratégique. La direction doit exprimer son engagement en définissant une politique qualité claire et en mobilisant les ressources humaines et financières nécessaires. Cet engagement doit être visible et partagé.</w:t>
      </w:r>
    </w:p>
    <w:p w14:paraId="56B9036A" w14:textId="77777777" w:rsidR="00AC74E8" w:rsidRPr="003B05DA" w:rsidRDefault="00AC74E8" w:rsidP="0029162E">
      <w:pPr>
        <w:numPr>
          <w:ilvl w:val="0"/>
          <w:numId w:val="22"/>
        </w:numPr>
        <w:jc w:val="left"/>
        <w:rPr>
          <w:sz w:val="22"/>
          <w:lang w:eastAsia="fr-FR"/>
        </w:rPr>
      </w:pPr>
      <w:r>
        <w:rPr>
          <w:b/>
          <w:bCs/>
          <w:sz w:val="22"/>
          <w:lang w:eastAsia="fr-FR"/>
        </w:rPr>
        <w:t>Etablir un d</w:t>
      </w:r>
      <w:r w:rsidRPr="003B05DA">
        <w:rPr>
          <w:b/>
          <w:bCs/>
          <w:sz w:val="22"/>
          <w:lang w:eastAsia="fr-FR"/>
        </w:rPr>
        <w:t>iagnostic initial</w:t>
      </w:r>
    </w:p>
    <w:p w14:paraId="12C4DCDE" w14:textId="77777777" w:rsidR="00AC74E8" w:rsidRPr="00A76A71" w:rsidRDefault="00AC74E8" w:rsidP="0029162E">
      <w:pPr>
        <w:jc w:val="left"/>
        <w:rPr>
          <w:lang w:eastAsia="fr-FR"/>
        </w:rPr>
      </w:pPr>
      <w:r w:rsidRPr="00A76A71">
        <w:rPr>
          <w:lang w:eastAsia="fr-FR"/>
        </w:rPr>
        <w:t>Un état des lieux est réalisé pour analyser la situation existante : pratiques en place, points forts, faiblesses, attentes des clients, exigences réglementaires. Cet audit de départ permet de définir le périmètre et les priorités de la démarche.</w:t>
      </w:r>
    </w:p>
    <w:p w14:paraId="2559DE95" w14:textId="77777777" w:rsidR="00AC74E8" w:rsidRPr="003B05DA" w:rsidRDefault="00AC74E8" w:rsidP="0029162E">
      <w:pPr>
        <w:numPr>
          <w:ilvl w:val="0"/>
          <w:numId w:val="22"/>
        </w:numPr>
        <w:jc w:val="left"/>
        <w:rPr>
          <w:sz w:val="22"/>
          <w:lang w:eastAsia="fr-FR"/>
        </w:rPr>
      </w:pPr>
      <w:r w:rsidRPr="003B05DA">
        <w:rPr>
          <w:b/>
          <w:bCs/>
          <w:sz w:val="22"/>
          <w:lang w:eastAsia="fr-FR"/>
        </w:rPr>
        <w:t>Défin</w:t>
      </w:r>
      <w:r>
        <w:rPr>
          <w:b/>
          <w:bCs/>
          <w:sz w:val="22"/>
          <w:lang w:eastAsia="fr-FR"/>
        </w:rPr>
        <w:t>ir</w:t>
      </w:r>
      <w:r w:rsidRPr="003B05DA">
        <w:rPr>
          <w:b/>
          <w:bCs/>
          <w:sz w:val="22"/>
          <w:lang w:eastAsia="fr-FR"/>
        </w:rPr>
        <w:t xml:space="preserve"> des objectifs qualité</w:t>
      </w:r>
    </w:p>
    <w:p w14:paraId="03BCBADF" w14:textId="77777777" w:rsidR="00AC74E8" w:rsidRPr="00A76A71" w:rsidRDefault="00AC74E8" w:rsidP="0029162E">
      <w:pPr>
        <w:jc w:val="left"/>
        <w:rPr>
          <w:lang w:eastAsia="fr-FR"/>
        </w:rPr>
      </w:pPr>
      <w:r w:rsidRPr="00A76A71">
        <w:rPr>
          <w:lang w:eastAsia="fr-FR"/>
        </w:rPr>
        <w:t>Les objectifs doivent être SMART (spécifiques, mesurables, atteignables, réalistes et temporellement définis). Ils concernent généralement la satisfaction client, la conformité des produits, la réduction des non-conformités, le respect des délais et l’amélioration continue.</w:t>
      </w:r>
    </w:p>
    <w:p w14:paraId="7A59AE16" w14:textId="77777777" w:rsidR="00AC74E8" w:rsidRPr="003B05DA" w:rsidRDefault="00AC74E8" w:rsidP="0029162E">
      <w:pPr>
        <w:numPr>
          <w:ilvl w:val="0"/>
          <w:numId w:val="22"/>
        </w:numPr>
        <w:jc w:val="left"/>
        <w:rPr>
          <w:sz w:val="22"/>
          <w:lang w:eastAsia="fr-FR"/>
        </w:rPr>
      </w:pPr>
      <w:r w:rsidRPr="003B05DA">
        <w:rPr>
          <w:b/>
          <w:bCs/>
          <w:sz w:val="22"/>
          <w:lang w:eastAsia="fr-FR"/>
        </w:rPr>
        <w:t>Planifi</w:t>
      </w:r>
      <w:r>
        <w:rPr>
          <w:b/>
          <w:bCs/>
          <w:sz w:val="22"/>
          <w:lang w:eastAsia="fr-FR"/>
        </w:rPr>
        <w:t>er</w:t>
      </w:r>
      <w:r w:rsidRPr="003B05DA">
        <w:rPr>
          <w:b/>
          <w:bCs/>
          <w:sz w:val="22"/>
          <w:lang w:eastAsia="fr-FR"/>
        </w:rPr>
        <w:t xml:space="preserve"> et m</w:t>
      </w:r>
      <w:r>
        <w:rPr>
          <w:b/>
          <w:bCs/>
          <w:sz w:val="22"/>
          <w:lang w:eastAsia="fr-FR"/>
        </w:rPr>
        <w:t xml:space="preserve">ettre en </w:t>
      </w:r>
      <w:r w:rsidRPr="003B05DA">
        <w:rPr>
          <w:b/>
          <w:bCs/>
          <w:sz w:val="22"/>
          <w:lang w:eastAsia="fr-FR"/>
        </w:rPr>
        <w:t>œuvre des actions</w:t>
      </w:r>
    </w:p>
    <w:p w14:paraId="5D788138" w14:textId="77777777" w:rsidR="00AC74E8" w:rsidRPr="00A76A71" w:rsidRDefault="00AC74E8" w:rsidP="0029162E">
      <w:pPr>
        <w:jc w:val="left"/>
        <w:rPr>
          <w:lang w:eastAsia="fr-FR"/>
        </w:rPr>
      </w:pPr>
      <w:r w:rsidRPr="00A76A71">
        <w:rPr>
          <w:lang w:eastAsia="fr-FR"/>
        </w:rPr>
        <w:t>À partir du diagnostic et des objectifs, un plan d’actions est établi : rédaction ou mise à jour des procédures, définition des responsabilités, organisation des flux d’information, mise en place des outils de suivi. Cette étape implique fortement les salariés.</w:t>
      </w:r>
    </w:p>
    <w:p w14:paraId="73022BAA" w14:textId="77777777" w:rsidR="00AC74E8" w:rsidRPr="003B05DA" w:rsidRDefault="00AC74E8" w:rsidP="0029162E">
      <w:pPr>
        <w:numPr>
          <w:ilvl w:val="0"/>
          <w:numId w:val="22"/>
        </w:numPr>
        <w:jc w:val="left"/>
        <w:rPr>
          <w:sz w:val="22"/>
          <w:lang w:eastAsia="fr-FR"/>
        </w:rPr>
      </w:pPr>
      <w:r w:rsidRPr="003B05DA">
        <w:rPr>
          <w:b/>
          <w:bCs/>
          <w:sz w:val="22"/>
          <w:lang w:eastAsia="fr-FR"/>
        </w:rPr>
        <w:t>Form</w:t>
      </w:r>
      <w:r>
        <w:rPr>
          <w:b/>
          <w:bCs/>
          <w:sz w:val="22"/>
          <w:lang w:eastAsia="fr-FR"/>
        </w:rPr>
        <w:t>er</w:t>
      </w:r>
      <w:r w:rsidRPr="003B05DA">
        <w:rPr>
          <w:b/>
          <w:bCs/>
          <w:sz w:val="22"/>
          <w:lang w:eastAsia="fr-FR"/>
        </w:rPr>
        <w:t xml:space="preserve"> et communi</w:t>
      </w:r>
      <w:r>
        <w:rPr>
          <w:b/>
          <w:bCs/>
          <w:sz w:val="22"/>
          <w:lang w:eastAsia="fr-FR"/>
        </w:rPr>
        <w:t>quer en</w:t>
      </w:r>
      <w:r w:rsidRPr="003B05DA">
        <w:rPr>
          <w:b/>
          <w:bCs/>
          <w:sz w:val="22"/>
          <w:lang w:eastAsia="fr-FR"/>
        </w:rPr>
        <w:t xml:space="preserve"> interne</w:t>
      </w:r>
    </w:p>
    <w:p w14:paraId="35520F4C" w14:textId="77777777" w:rsidR="00AC74E8" w:rsidRPr="00A76A71" w:rsidRDefault="00AC74E8" w:rsidP="0029162E">
      <w:pPr>
        <w:jc w:val="left"/>
        <w:rPr>
          <w:lang w:eastAsia="fr-FR"/>
        </w:rPr>
      </w:pPr>
      <w:r w:rsidRPr="00A76A71">
        <w:rPr>
          <w:lang w:eastAsia="fr-FR"/>
        </w:rPr>
        <w:t>Le personnel doit être formé aux outils et procédures qualité. L’information doit circuler de manière transparente afin que chacun comprenne son rôle dans la démarche. La réussite dépend de l’adhésion collective.</w:t>
      </w:r>
    </w:p>
    <w:p w14:paraId="282197E0" w14:textId="77777777" w:rsidR="00AC74E8" w:rsidRPr="003B05DA" w:rsidRDefault="00AC74E8" w:rsidP="0029162E">
      <w:pPr>
        <w:numPr>
          <w:ilvl w:val="0"/>
          <w:numId w:val="22"/>
        </w:numPr>
        <w:jc w:val="left"/>
        <w:rPr>
          <w:sz w:val="22"/>
          <w:lang w:eastAsia="fr-FR"/>
        </w:rPr>
      </w:pPr>
      <w:r w:rsidRPr="003B05DA">
        <w:rPr>
          <w:b/>
          <w:bCs/>
          <w:sz w:val="22"/>
          <w:lang w:eastAsia="fr-FR"/>
        </w:rPr>
        <w:t>Suiv</w:t>
      </w:r>
      <w:r>
        <w:rPr>
          <w:b/>
          <w:bCs/>
          <w:sz w:val="22"/>
          <w:lang w:eastAsia="fr-FR"/>
        </w:rPr>
        <w:t>re</w:t>
      </w:r>
      <w:r w:rsidRPr="003B05DA">
        <w:rPr>
          <w:b/>
          <w:bCs/>
          <w:sz w:val="22"/>
          <w:lang w:eastAsia="fr-FR"/>
        </w:rPr>
        <w:t xml:space="preserve"> et mesure</w:t>
      </w:r>
      <w:r>
        <w:rPr>
          <w:b/>
          <w:bCs/>
          <w:sz w:val="22"/>
          <w:lang w:eastAsia="fr-FR"/>
        </w:rPr>
        <w:t>r</w:t>
      </w:r>
      <w:r w:rsidRPr="003B05DA">
        <w:rPr>
          <w:b/>
          <w:bCs/>
          <w:sz w:val="22"/>
          <w:lang w:eastAsia="fr-FR"/>
        </w:rPr>
        <w:t xml:space="preserve"> la performance</w:t>
      </w:r>
    </w:p>
    <w:p w14:paraId="2BCC27DF" w14:textId="77777777" w:rsidR="00AC74E8" w:rsidRPr="00A76A71" w:rsidRDefault="00AC74E8" w:rsidP="0029162E">
      <w:pPr>
        <w:jc w:val="left"/>
        <w:rPr>
          <w:lang w:eastAsia="fr-FR"/>
        </w:rPr>
      </w:pPr>
      <w:r w:rsidRPr="00A76A71">
        <w:rPr>
          <w:lang w:eastAsia="fr-FR"/>
        </w:rPr>
        <w:t>La démarche qualité s’appuie sur des indicateurs (KPI) : taux de conformité, retours clients, délais, coûts de non-qualité, etc. Les résultats doivent être régulièrement analysés et présentés en réunion.</w:t>
      </w:r>
    </w:p>
    <w:p w14:paraId="52225207" w14:textId="77777777" w:rsidR="00AC74E8" w:rsidRPr="003B05DA" w:rsidRDefault="00AC74E8" w:rsidP="0029162E">
      <w:pPr>
        <w:numPr>
          <w:ilvl w:val="0"/>
          <w:numId w:val="22"/>
        </w:numPr>
        <w:jc w:val="left"/>
        <w:rPr>
          <w:sz w:val="22"/>
          <w:lang w:eastAsia="fr-FR"/>
        </w:rPr>
      </w:pPr>
      <w:r>
        <w:rPr>
          <w:b/>
          <w:bCs/>
          <w:sz w:val="22"/>
          <w:lang w:eastAsia="fr-FR"/>
        </w:rPr>
        <w:t>Réaliser un a</w:t>
      </w:r>
      <w:r w:rsidRPr="003B05DA">
        <w:rPr>
          <w:b/>
          <w:bCs/>
          <w:sz w:val="22"/>
          <w:lang w:eastAsia="fr-FR"/>
        </w:rPr>
        <w:t>udit interne</w:t>
      </w:r>
    </w:p>
    <w:p w14:paraId="09B1C358" w14:textId="77777777" w:rsidR="00AC74E8" w:rsidRPr="00A76A71" w:rsidRDefault="00AC74E8" w:rsidP="0029162E">
      <w:pPr>
        <w:jc w:val="left"/>
        <w:rPr>
          <w:lang w:eastAsia="fr-FR"/>
        </w:rPr>
      </w:pPr>
      <w:r w:rsidRPr="00A76A71">
        <w:rPr>
          <w:lang w:eastAsia="fr-FR"/>
        </w:rPr>
        <w:t>L’audit interne vérifie la bonne application des procédures, identifie les écarts et propose des pistes d’amélioration. C’est une étape indispensable avant toute certification externe.</w:t>
      </w:r>
    </w:p>
    <w:p w14:paraId="039FB08F" w14:textId="77777777" w:rsidR="00AC74E8" w:rsidRPr="003B05DA" w:rsidRDefault="00AC74E8" w:rsidP="0029162E">
      <w:pPr>
        <w:numPr>
          <w:ilvl w:val="0"/>
          <w:numId w:val="22"/>
        </w:numPr>
        <w:jc w:val="left"/>
        <w:rPr>
          <w:sz w:val="22"/>
          <w:lang w:eastAsia="fr-FR"/>
        </w:rPr>
      </w:pPr>
      <w:r>
        <w:rPr>
          <w:b/>
          <w:bCs/>
          <w:sz w:val="22"/>
          <w:lang w:eastAsia="fr-FR"/>
        </w:rPr>
        <w:t>Mettre en œuvre l’a</w:t>
      </w:r>
      <w:r w:rsidRPr="003B05DA">
        <w:rPr>
          <w:b/>
          <w:bCs/>
          <w:sz w:val="22"/>
          <w:lang w:eastAsia="fr-FR"/>
        </w:rPr>
        <w:t>mélioration continue</w:t>
      </w:r>
    </w:p>
    <w:p w14:paraId="20450A29" w14:textId="77777777" w:rsidR="00AC74E8" w:rsidRPr="00A76A71" w:rsidRDefault="00AC74E8" w:rsidP="0029162E">
      <w:pPr>
        <w:jc w:val="left"/>
        <w:rPr>
          <w:lang w:eastAsia="fr-FR"/>
        </w:rPr>
      </w:pPr>
      <w:r w:rsidRPr="00A76A71">
        <w:rPr>
          <w:lang w:eastAsia="fr-FR"/>
        </w:rPr>
        <w:t xml:space="preserve">La démarche qualité n’a pas de fin : elle fonctionne selon le cycle PDCA (Plan – Do – Check – </w:t>
      </w:r>
      <w:proofErr w:type="spellStart"/>
      <w:r w:rsidRPr="00A76A71">
        <w:rPr>
          <w:lang w:eastAsia="fr-FR"/>
        </w:rPr>
        <w:t>Act</w:t>
      </w:r>
      <w:proofErr w:type="spellEnd"/>
      <w:r w:rsidRPr="00A76A71">
        <w:rPr>
          <w:lang w:eastAsia="fr-FR"/>
        </w:rPr>
        <w:t>). Les actions correctives sont mises en place, évaluées, ajustées et intégrées dans les pratiques.</w:t>
      </w:r>
    </w:p>
    <w:p w14:paraId="13A380D1" w14:textId="77777777" w:rsidR="00AC74E8" w:rsidRPr="00A76A71" w:rsidRDefault="00AC74E8" w:rsidP="0029162E">
      <w:pPr>
        <w:jc w:val="left"/>
        <w:rPr>
          <w:lang w:eastAsia="fr-FR"/>
        </w:rPr>
      </w:pPr>
      <w:r w:rsidRPr="00A76A71">
        <w:rPr>
          <w:b/>
          <w:bCs/>
          <w:lang w:eastAsia="fr-FR"/>
        </w:rPr>
        <w:t>Conclusion</w:t>
      </w:r>
      <w:r w:rsidRPr="00A76A71">
        <w:rPr>
          <w:lang w:eastAsia="fr-FR"/>
        </w:rPr>
        <w:t xml:space="preserve"> :</w:t>
      </w:r>
      <w:r w:rsidRPr="00A76A71">
        <w:rPr>
          <w:lang w:eastAsia="fr-FR"/>
        </w:rPr>
        <w:br/>
        <w:t>Une démarche qualité réussie repose sur l’implication de la direction, la participation du personnel, la formalisation des procédures et l’amélioration continue. Elle devient un véritable levier de performance et de compétitivité pour l’entreprise.</w:t>
      </w:r>
    </w:p>
    <w:p w14:paraId="02919511" w14:textId="77777777" w:rsidR="00AC74E8" w:rsidRDefault="00AC74E8" w:rsidP="0029162E">
      <w:pPr>
        <w:jc w:val="left"/>
        <w:rPr>
          <w:lang w:eastAsia="fr-FR"/>
        </w:rPr>
      </w:pPr>
    </w:p>
    <w:p w14:paraId="26105710" w14:textId="77777777" w:rsidR="00AC74E8" w:rsidRDefault="00AC74E8" w:rsidP="00AC74E8">
      <w:pPr>
        <w:rPr>
          <w:lang w:eastAsia="fr-FR"/>
        </w:rPr>
      </w:pPr>
    </w:p>
    <w:p w14:paraId="5BE8C8E5" w14:textId="77777777" w:rsidR="00AC74E8" w:rsidRDefault="00AC74E8" w:rsidP="00AC74E8">
      <w:pPr>
        <w:rPr>
          <w:lang w:eastAsia="fr-FR"/>
        </w:rPr>
      </w:pPr>
    </w:p>
    <w:p w14:paraId="0C6FDFFF" w14:textId="77777777" w:rsidR="00AC74E8" w:rsidRDefault="00AC74E8" w:rsidP="00AC74E8">
      <w:pPr>
        <w:rPr>
          <w:lang w:eastAsia="fr-FR"/>
        </w:rPr>
      </w:pPr>
    </w:p>
    <w:p w14:paraId="3AF0F535" w14:textId="77777777" w:rsidR="00AC74E8" w:rsidRDefault="00AC74E8" w:rsidP="00AC74E8">
      <w:pPr>
        <w:rPr>
          <w:lang w:eastAsia="fr-FR"/>
        </w:rPr>
      </w:pPr>
    </w:p>
    <w:p w14:paraId="48FBB53D" w14:textId="77777777" w:rsidR="00AC74E8" w:rsidRDefault="00AC74E8" w:rsidP="00AC74E8">
      <w:pPr>
        <w:rPr>
          <w:lang w:eastAsia="fr-FR"/>
        </w:rPr>
      </w:pPr>
    </w:p>
    <w:p w14:paraId="77C82485" w14:textId="77777777" w:rsidR="00D91CCF" w:rsidRPr="00AC74E8" w:rsidRDefault="00D91CCF" w:rsidP="00AC74E8"/>
    <w:sectPr w:rsidR="00D91CCF" w:rsidRPr="00AC74E8" w:rsidSect="00D91CCF">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26CD"/>
    <w:multiLevelType w:val="hybridMultilevel"/>
    <w:tmpl w:val="D0DE55C0"/>
    <w:lvl w:ilvl="0" w:tplc="68A29608">
      <w:start w:val="1"/>
      <w:numFmt w:val="bullet"/>
      <w:pStyle w:val="Titre3"/>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DD10673E">
      <w:numFmt w:val="bullet"/>
      <w:lvlText w:val="-"/>
      <w:lvlJc w:val="left"/>
      <w:pPr>
        <w:ind w:left="2340" w:hanging="360"/>
      </w:pPr>
      <w:rPr>
        <w:rFonts w:ascii="Arial" w:eastAsia="Times New Roman" w:hAnsi="Arial" w:cs="Aria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C67A9E"/>
    <w:multiLevelType w:val="hybridMultilevel"/>
    <w:tmpl w:val="B30C511C"/>
    <w:lvl w:ilvl="0" w:tplc="777AEFCC">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8A529CE"/>
    <w:multiLevelType w:val="hybridMultilevel"/>
    <w:tmpl w:val="E04A219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9015FE2"/>
    <w:multiLevelType w:val="multilevel"/>
    <w:tmpl w:val="C6A6661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A666F2C"/>
    <w:multiLevelType w:val="multilevel"/>
    <w:tmpl w:val="7AD47F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8921476"/>
    <w:multiLevelType w:val="multilevel"/>
    <w:tmpl w:val="3A401B5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D997F2B"/>
    <w:multiLevelType w:val="multilevel"/>
    <w:tmpl w:val="C256E0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D9C74E9"/>
    <w:multiLevelType w:val="hybridMultilevel"/>
    <w:tmpl w:val="D676E33E"/>
    <w:lvl w:ilvl="0" w:tplc="E9FE47D0">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3B4BB7"/>
    <w:multiLevelType w:val="hybridMultilevel"/>
    <w:tmpl w:val="E11A41E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38043463"/>
    <w:multiLevelType w:val="multilevel"/>
    <w:tmpl w:val="CBDE9500"/>
    <w:lvl w:ilvl="0">
      <w:start w:val="1"/>
      <w:numFmt w:val="bullet"/>
      <w:lvlText w:val=""/>
      <w:lvlJc w:val="left"/>
      <w:pPr>
        <w:tabs>
          <w:tab w:val="num" w:pos="363"/>
        </w:tabs>
        <w:ind w:left="363" w:hanging="360"/>
      </w:pPr>
      <w:rPr>
        <w:rFonts w:ascii="Symbol" w:hAnsi="Symbol" w:hint="default"/>
        <w:sz w:val="20"/>
      </w:rPr>
    </w:lvl>
    <w:lvl w:ilvl="1" w:tentative="1">
      <w:start w:val="1"/>
      <w:numFmt w:val="bullet"/>
      <w:lvlText w:val="o"/>
      <w:lvlJc w:val="left"/>
      <w:pPr>
        <w:tabs>
          <w:tab w:val="num" w:pos="1083"/>
        </w:tabs>
        <w:ind w:left="1083" w:hanging="360"/>
      </w:pPr>
      <w:rPr>
        <w:rFonts w:ascii="Courier New" w:hAnsi="Courier New" w:hint="default"/>
        <w:sz w:val="20"/>
      </w:rPr>
    </w:lvl>
    <w:lvl w:ilvl="2" w:tentative="1">
      <w:start w:val="1"/>
      <w:numFmt w:val="bullet"/>
      <w:lvlText w:val=""/>
      <w:lvlJc w:val="left"/>
      <w:pPr>
        <w:tabs>
          <w:tab w:val="num" w:pos="1803"/>
        </w:tabs>
        <w:ind w:left="1803" w:hanging="360"/>
      </w:pPr>
      <w:rPr>
        <w:rFonts w:ascii="Wingdings" w:hAnsi="Wingdings" w:hint="default"/>
        <w:sz w:val="20"/>
      </w:rPr>
    </w:lvl>
    <w:lvl w:ilvl="3" w:tentative="1">
      <w:start w:val="1"/>
      <w:numFmt w:val="bullet"/>
      <w:lvlText w:val=""/>
      <w:lvlJc w:val="left"/>
      <w:pPr>
        <w:tabs>
          <w:tab w:val="num" w:pos="2523"/>
        </w:tabs>
        <w:ind w:left="2523" w:hanging="360"/>
      </w:pPr>
      <w:rPr>
        <w:rFonts w:ascii="Wingdings" w:hAnsi="Wingdings" w:hint="default"/>
        <w:sz w:val="20"/>
      </w:rPr>
    </w:lvl>
    <w:lvl w:ilvl="4" w:tentative="1">
      <w:start w:val="1"/>
      <w:numFmt w:val="bullet"/>
      <w:lvlText w:val=""/>
      <w:lvlJc w:val="left"/>
      <w:pPr>
        <w:tabs>
          <w:tab w:val="num" w:pos="3243"/>
        </w:tabs>
        <w:ind w:left="3243" w:hanging="360"/>
      </w:pPr>
      <w:rPr>
        <w:rFonts w:ascii="Wingdings" w:hAnsi="Wingdings" w:hint="default"/>
        <w:sz w:val="20"/>
      </w:rPr>
    </w:lvl>
    <w:lvl w:ilvl="5" w:tentative="1">
      <w:start w:val="1"/>
      <w:numFmt w:val="bullet"/>
      <w:lvlText w:val=""/>
      <w:lvlJc w:val="left"/>
      <w:pPr>
        <w:tabs>
          <w:tab w:val="num" w:pos="3963"/>
        </w:tabs>
        <w:ind w:left="3963" w:hanging="360"/>
      </w:pPr>
      <w:rPr>
        <w:rFonts w:ascii="Wingdings" w:hAnsi="Wingdings" w:hint="default"/>
        <w:sz w:val="20"/>
      </w:rPr>
    </w:lvl>
    <w:lvl w:ilvl="6" w:tentative="1">
      <w:start w:val="1"/>
      <w:numFmt w:val="bullet"/>
      <w:lvlText w:val=""/>
      <w:lvlJc w:val="left"/>
      <w:pPr>
        <w:tabs>
          <w:tab w:val="num" w:pos="4683"/>
        </w:tabs>
        <w:ind w:left="4683" w:hanging="360"/>
      </w:pPr>
      <w:rPr>
        <w:rFonts w:ascii="Wingdings" w:hAnsi="Wingdings" w:hint="default"/>
        <w:sz w:val="20"/>
      </w:rPr>
    </w:lvl>
    <w:lvl w:ilvl="7" w:tentative="1">
      <w:start w:val="1"/>
      <w:numFmt w:val="bullet"/>
      <w:lvlText w:val=""/>
      <w:lvlJc w:val="left"/>
      <w:pPr>
        <w:tabs>
          <w:tab w:val="num" w:pos="5403"/>
        </w:tabs>
        <w:ind w:left="5403" w:hanging="360"/>
      </w:pPr>
      <w:rPr>
        <w:rFonts w:ascii="Wingdings" w:hAnsi="Wingdings" w:hint="default"/>
        <w:sz w:val="20"/>
      </w:rPr>
    </w:lvl>
    <w:lvl w:ilvl="8" w:tentative="1">
      <w:start w:val="1"/>
      <w:numFmt w:val="bullet"/>
      <w:lvlText w:val=""/>
      <w:lvlJc w:val="left"/>
      <w:pPr>
        <w:tabs>
          <w:tab w:val="num" w:pos="6123"/>
        </w:tabs>
        <w:ind w:left="6123" w:hanging="360"/>
      </w:pPr>
      <w:rPr>
        <w:rFonts w:ascii="Wingdings" w:hAnsi="Wingdings" w:hint="default"/>
        <w:sz w:val="20"/>
      </w:rPr>
    </w:lvl>
  </w:abstractNum>
  <w:abstractNum w:abstractNumId="10" w15:restartNumberingAfterBreak="0">
    <w:nsid w:val="3E0E4DA2"/>
    <w:multiLevelType w:val="hybridMultilevel"/>
    <w:tmpl w:val="1E087192"/>
    <w:lvl w:ilvl="0" w:tplc="70DE6498">
      <w:start w:val="1"/>
      <w:numFmt w:val="decimal"/>
      <w:lvlText w:val="%1."/>
      <w:lvlJc w:val="left"/>
      <w:pPr>
        <w:ind w:left="0"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1272687"/>
    <w:multiLevelType w:val="hybridMultilevel"/>
    <w:tmpl w:val="A6E2AAF4"/>
    <w:lvl w:ilvl="0" w:tplc="DD10673E">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57678E0"/>
    <w:multiLevelType w:val="hybridMultilevel"/>
    <w:tmpl w:val="547C8F66"/>
    <w:lvl w:ilvl="0" w:tplc="807693BE">
      <w:numFmt w:val="bullet"/>
      <w:lvlText w:val="•"/>
      <w:lvlJc w:val="left"/>
      <w:pPr>
        <w:ind w:left="654" w:hanging="360"/>
      </w:pPr>
      <w:rPr>
        <w:rFonts w:ascii="Calibri" w:eastAsia="Calibri" w:hAnsi="Calibri" w:cs="Calibri" w:hint="default"/>
      </w:rPr>
    </w:lvl>
    <w:lvl w:ilvl="1" w:tplc="040C0003" w:tentative="1">
      <w:start w:val="1"/>
      <w:numFmt w:val="bullet"/>
      <w:lvlText w:val="o"/>
      <w:lvlJc w:val="left"/>
      <w:pPr>
        <w:ind w:left="1374" w:hanging="360"/>
      </w:pPr>
      <w:rPr>
        <w:rFonts w:ascii="Courier New" w:hAnsi="Courier New" w:cs="Courier New" w:hint="default"/>
      </w:rPr>
    </w:lvl>
    <w:lvl w:ilvl="2" w:tplc="040C0005" w:tentative="1">
      <w:start w:val="1"/>
      <w:numFmt w:val="bullet"/>
      <w:lvlText w:val=""/>
      <w:lvlJc w:val="left"/>
      <w:pPr>
        <w:ind w:left="2094" w:hanging="360"/>
      </w:pPr>
      <w:rPr>
        <w:rFonts w:ascii="Wingdings" w:hAnsi="Wingdings" w:hint="default"/>
      </w:rPr>
    </w:lvl>
    <w:lvl w:ilvl="3" w:tplc="040C0001" w:tentative="1">
      <w:start w:val="1"/>
      <w:numFmt w:val="bullet"/>
      <w:lvlText w:val=""/>
      <w:lvlJc w:val="left"/>
      <w:pPr>
        <w:ind w:left="2814" w:hanging="360"/>
      </w:pPr>
      <w:rPr>
        <w:rFonts w:ascii="Symbol" w:hAnsi="Symbol" w:hint="default"/>
      </w:rPr>
    </w:lvl>
    <w:lvl w:ilvl="4" w:tplc="040C0003" w:tentative="1">
      <w:start w:val="1"/>
      <w:numFmt w:val="bullet"/>
      <w:lvlText w:val="o"/>
      <w:lvlJc w:val="left"/>
      <w:pPr>
        <w:ind w:left="3534" w:hanging="360"/>
      </w:pPr>
      <w:rPr>
        <w:rFonts w:ascii="Courier New" w:hAnsi="Courier New" w:cs="Courier New" w:hint="default"/>
      </w:rPr>
    </w:lvl>
    <w:lvl w:ilvl="5" w:tplc="040C0005" w:tentative="1">
      <w:start w:val="1"/>
      <w:numFmt w:val="bullet"/>
      <w:lvlText w:val=""/>
      <w:lvlJc w:val="left"/>
      <w:pPr>
        <w:ind w:left="4254" w:hanging="360"/>
      </w:pPr>
      <w:rPr>
        <w:rFonts w:ascii="Wingdings" w:hAnsi="Wingdings" w:hint="default"/>
      </w:rPr>
    </w:lvl>
    <w:lvl w:ilvl="6" w:tplc="040C0001" w:tentative="1">
      <w:start w:val="1"/>
      <w:numFmt w:val="bullet"/>
      <w:lvlText w:val=""/>
      <w:lvlJc w:val="left"/>
      <w:pPr>
        <w:ind w:left="4974" w:hanging="360"/>
      </w:pPr>
      <w:rPr>
        <w:rFonts w:ascii="Symbol" w:hAnsi="Symbol" w:hint="default"/>
      </w:rPr>
    </w:lvl>
    <w:lvl w:ilvl="7" w:tplc="040C0003" w:tentative="1">
      <w:start w:val="1"/>
      <w:numFmt w:val="bullet"/>
      <w:lvlText w:val="o"/>
      <w:lvlJc w:val="left"/>
      <w:pPr>
        <w:ind w:left="5694" w:hanging="360"/>
      </w:pPr>
      <w:rPr>
        <w:rFonts w:ascii="Courier New" w:hAnsi="Courier New" w:cs="Courier New" w:hint="default"/>
      </w:rPr>
    </w:lvl>
    <w:lvl w:ilvl="8" w:tplc="040C0005" w:tentative="1">
      <w:start w:val="1"/>
      <w:numFmt w:val="bullet"/>
      <w:lvlText w:val=""/>
      <w:lvlJc w:val="left"/>
      <w:pPr>
        <w:ind w:left="6414" w:hanging="360"/>
      </w:pPr>
      <w:rPr>
        <w:rFonts w:ascii="Wingdings" w:hAnsi="Wingdings" w:hint="default"/>
      </w:rPr>
    </w:lvl>
  </w:abstractNum>
  <w:abstractNum w:abstractNumId="13" w15:restartNumberingAfterBreak="0">
    <w:nsid w:val="45EA6476"/>
    <w:multiLevelType w:val="hybridMultilevel"/>
    <w:tmpl w:val="ADD8A1FE"/>
    <w:lvl w:ilvl="0" w:tplc="70DE6498">
      <w:start w:val="1"/>
      <w:numFmt w:val="decimal"/>
      <w:lvlText w:val="%1."/>
      <w:lvlJc w:val="left"/>
      <w:rPr>
        <w:rFonts w:hint="default"/>
      </w:rPr>
    </w:lvl>
    <w:lvl w:ilvl="1" w:tplc="FFFFFFFF" w:tentative="1">
      <w:start w:val="1"/>
      <w:numFmt w:val="lowerLetter"/>
      <w:lvlText w:val="%2."/>
      <w:lvlJc w:val="left"/>
      <w:pPr>
        <w:ind w:left="1068" w:hanging="360"/>
      </w:pPr>
    </w:lvl>
    <w:lvl w:ilvl="2" w:tplc="FFFFFFFF" w:tentative="1">
      <w:start w:val="1"/>
      <w:numFmt w:val="lowerRoman"/>
      <w:lvlText w:val="%3."/>
      <w:lvlJc w:val="right"/>
      <w:pPr>
        <w:ind w:left="1788" w:hanging="180"/>
      </w:pPr>
    </w:lvl>
    <w:lvl w:ilvl="3" w:tplc="FFFFFFFF" w:tentative="1">
      <w:start w:val="1"/>
      <w:numFmt w:val="decimal"/>
      <w:lvlText w:val="%4."/>
      <w:lvlJc w:val="left"/>
      <w:pPr>
        <w:ind w:left="2508" w:hanging="360"/>
      </w:pPr>
    </w:lvl>
    <w:lvl w:ilvl="4" w:tplc="FFFFFFFF" w:tentative="1">
      <w:start w:val="1"/>
      <w:numFmt w:val="lowerLetter"/>
      <w:lvlText w:val="%5."/>
      <w:lvlJc w:val="left"/>
      <w:pPr>
        <w:ind w:left="3228" w:hanging="360"/>
      </w:pPr>
    </w:lvl>
    <w:lvl w:ilvl="5" w:tplc="FFFFFFFF" w:tentative="1">
      <w:start w:val="1"/>
      <w:numFmt w:val="lowerRoman"/>
      <w:lvlText w:val="%6."/>
      <w:lvlJc w:val="right"/>
      <w:pPr>
        <w:ind w:left="3948" w:hanging="180"/>
      </w:pPr>
    </w:lvl>
    <w:lvl w:ilvl="6" w:tplc="FFFFFFFF" w:tentative="1">
      <w:start w:val="1"/>
      <w:numFmt w:val="decimal"/>
      <w:lvlText w:val="%7."/>
      <w:lvlJc w:val="left"/>
      <w:pPr>
        <w:ind w:left="4668" w:hanging="360"/>
      </w:pPr>
    </w:lvl>
    <w:lvl w:ilvl="7" w:tplc="FFFFFFFF" w:tentative="1">
      <w:start w:val="1"/>
      <w:numFmt w:val="lowerLetter"/>
      <w:lvlText w:val="%8."/>
      <w:lvlJc w:val="left"/>
      <w:pPr>
        <w:ind w:left="5388" w:hanging="360"/>
      </w:pPr>
    </w:lvl>
    <w:lvl w:ilvl="8" w:tplc="FFFFFFFF" w:tentative="1">
      <w:start w:val="1"/>
      <w:numFmt w:val="lowerRoman"/>
      <w:lvlText w:val="%9."/>
      <w:lvlJc w:val="right"/>
      <w:pPr>
        <w:ind w:left="6108" w:hanging="180"/>
      </w:pPr>
    </w:lvl>
  </w:abstractNum>
  <w:abstractNum w:abstractNumId="14" w15:restartNumberingAfterBreak="0">
    <w:nsid w:val="466E3709"/>
    <w:multiLevelType w:val="hybridMultilevel"/>
    <w:tmpl w:val="406E0A62"/>
    <w:lvl w:ilvl="0" w:tplc="6AC473F2">
      <w:start w:val="1"/>
      <w:numFmt w:val="decimal"/>
      <w:lvlText w:val="%1."/>
      <w:lvlJc w:val="left"/>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769579F"/>
    <w:multiLevelType w:val="multilevel"/>
    <w:tmpl w:val="61102DF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7F07754"/>
    <w:multiLevelType w:val="multilevel"/>
    <w:tmpl w:val="6244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8E28B2"/>
    <w:multiLevelType w:val="hybridMultilevel"/>
    <w:tmpl w:val="8E549576"/>
    <w:lvl w:ilvl="0" w:tplc="040C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3B50631"/>
    <w:multiLevelType w:val="hybridMultilevel"/>
    <w:tmpl w:val="0A9AF51E"/>
    <w:lvl w:ilvl="0" w:tplc="040C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5BE1908"/>
    <w:multiLevelType w:val="hybridMultilevel"/>
    <w:tmpl w:val="16006F82"/>
    <w:lvl w:ilvl="0" w:tplc="10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60F97DD2"/>
    <w:multiLevelType w:val="multilevel"/>
    <w:tmpl w:val="6902E29C"/>
    <w:lvl w:ilvl="0">
      <w:start w:val="1"/>
      <w:numFmt w:val="bullet"/>
      <w:lvlText w:val=""/>
      <w:lvlJc w:val="left"/>
      <w:pPr>
        <w:tabs>
          <w:tab w:val="num" w:pos="-351"/>
        </w:tabs>
        <w:ind w:left="-351" w:hanging="360"/>
      </w:pPr>
      <w:rPr>
        <w:rFonts w:ascii="Symbol" w:hAnsi="Symbol" w:hint="default"/>
        <w:sz w:val="20"/>
      </w:rPr>
    </w:lvl>
    <w:lvl w:ilvl="1" w:tentative="1">
      <w:start w:val="1"/>
      <w:numFmt w:val="bullet"/>
      <w:lvlText w:val="o"/>
      <w:lvlJc w:val="left"/>
      <w:pPr>
        <w:tabs>
          <w:tab w:val="num" w:pos="369"/>
        </w:tabs>
        <w:ind w:left="369" w:hanging="360"/>
      </w:pPr>
      <w:rPr>
        <w:rFonts w:ascii="Courier New" w:hAnsi="Courier New" w:hint="default"/>
        <w:sz w:val="20"/>
      </w:rPr>
    </w:lvl>
    <w:lvl w:ilvl="2" w:tentative="1">
      <w:start w:val="1"/>
      <w:numFmt w:val="bullet"/>
      <w:lvlText w:val=""/>
      <w:lvlJc w:val="left"/>
      <w:pPr>
        <w:tabs>
          <w:tab w:val="num" w:pos="1089"/>
        </w:tabs>
        <w:ind w:left="1089" w:hanging="360"/>
      </w:pPr>
      <w:rPr>
        <w:rFonts w:ascii="Wingdings" w:hAnsi="Wingdings" w:hint="default"/>
        <w:sz w:val="20"/>
      </w:rPr>
    </w:lvl>
    <w:lvl w:ilvl="3" w:tentative="1">
      <w:start w:val="1"/>
      <w:numFmt w:val="bullet"/>
      <w:lvlText w:val=""/>
      <w:lvlJc w:val="left"/>
      <w:pPr>
        <w:tabs>
          <w:tab w:val="num" w:pos="1809"/>
        </w:tabs>
        <w:ind w:left="1809" w:hanging="360"/>
      </w:pPr>
      <w:rPr>
        <w:rFonts w:ascii="Wingdings" w:hAnsi="Wingdings" w:hint="default"/>
        <w:sz w:val="20"/>
      </w:rPr>
    </w:lvl>
    <w:lvl w:ilvl="4" w:tentative="1">
      <w:start w:val="1"/>
      <w:numFmt w:val="bullet"/>
      <w:lvlText w:val=""/>
      <w:lvlJc w:val="left"/>
      <w:pPr>
        <w:tabs>
          <w:tab w:val="num" w:pos="2529"/>
        </w:tabs>
        <w:ind w:left="2529" w:hanging="360"/>
      </w:pPr>
      <w:rPr>
        <w:rFonts w:ascii="Wingdings" w:hAnsi="Wingdings" w:hint="default"/>
        <w:sz w:val="20"/>
      </w:rPr>
    </w:lvl>
    <w:lvl w:ilvl="5" w:tentative="1">
      <w:start w:val="1"/>
      <w:numFmt w:val="bullet"/>
      <w:lvlText w:val=""/>
      <w:lvlJc w:val="left"/>
      <w:pPr>
        <w:tabs>
          <w:tab w:val="num" w:pos="3249"/>
        </w:tabs>
        <w:ind w:left="3249" w:hanging="360"/>
      </w:pPr>
      <w:rPr>
        <w:rFonts w:ascii="Wingdings" w:hAnsi="Wingdings" w:hint="default"/>
        <w:sz w:val="20"/>
      </w:rPr>
    </w:lvl>
    <w:lvl w:ilvl="6" w:tentative="1">
      <w:start w:val="1"/>
      <w:numFmt w:val="bullet"/>
      <w:lvlText w:val=""/>
      <w:lvlJc w:val="left"/>
      <w:pPr>
        <w:tabs>
          <w:tab w:val="num" w:pos="3969"/>
        </w:tabs>
        <w:ind w:left="3969" w:hanging="360"/>
      </w:pPr>
      <w:rPr>
        <w:rFonts w:ascii="Wingdings" w:hAnsi="Wingdings" w:hint="default"/>
        <w:sz w:val="20"/>
      </w:rPr>
    </w:lvl>
    <w:lvl w:ilvl="7" w:tentative="1">
      <w:start w:val="1"/>
      <w:numFmt w:val="bullet"/>
      <w:lvlText w:val=""/>
      <w:lvlJc w:val="left"/>
      <w:pPr>
        <w:tabs>
          <w:tab w:val="num" w:pos="4689"/>
        </w:tabs>
        <w:ind w:left="4689" w:hanging="360"/>
      </w:pPr>
      <w:rPr>
        <w:rFonts w:ascii="Wingdings" w:hAnsi="Wingdings" w:hint="default"/>
        <w:sz w:val="20"/>
      </w:rPr>
    </w:lvl>
    <w:lvl w:ilvl="8" w:tentative="1">
      <w:start w:val="1"/>
      <w:numFmt w:val="bullet"/>
      <w:lvlText w:val=""/>
      <w:lvlJc w:val="left"/>
      <w:pPr>
        <w:tabs>
          <w:tab w:val="num" w:pos="5409"/>
        </w:tabs>
        <w:ind w:left="5409" w:hanging="360"/>
      </w:pPr>
      <w:rPr>
        <w:rFonts w:ascii="Wingdings" w:hAnsi="Wingdings" w:hint="default"/>
        <w:sz w:val="20"/>
      </w:rPr>
    </w:lvl>
  </w:abstractNum>
  <w:abstractNum w:abstractNumId="21" w15:restartNumberingAfterBreak="0">
    <w:nsid w:val="6CBB19CE"/>
    <w:multiLevelType w:val="hybridMultilevel"/>
    <w:tmpl w:val="761226E0"/>
    <w:lvl w:ilvl="0" w:tplc="DD10673E">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D3F5AC4"/>
    <w:multiLevelType w:val="multilevel"/>
    <w:tmpl w:val="24C2B2D2"/>
    <w:lvl w:ilvl="0">
      <w:start w:val="1"/>
      <w:numFmt w:val="decimal"/>
      <w:lvlText w:val="%1."/>
      <w:lvlJc w:val="left"/>
      <w:pPr>
        <w:tabs>
          <w:tab w:val="num" w:pos="360"/>
        </w:tabs>
        <w:ind w:left="360" w:hanging="360"/>
      </w:pPr>
    </w:lvl>
    <w:lvl w:ilvl="1">
      <w:start w:val="1"/>
      <w:numFmt w:val="decimal"/>
      <w:lvlText w:val="%2."/>
      <w:lvlJc w:val="left"/>
      <w:pPr>
        <w:ind w:left="36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506824879">
    <w:abstractNumId w:val="0"/>
  </w:num>
  <w:num w:numId="2" w16cid:durableId="766580462">
    <w:abstractNumId w:val="19"/>
  </w:num>
  <w:num w:numId="3" w16cid:durableId="964770111">
    <w:abstractNumId w:val="1"/>
  </w:num>
  <w:num w:numId="4" w16cid:durableId="1550335642">
    <w:abstractNumId w:val="11"/>
  </w:num>
  <w:num w:numId="5" w16cid:durableId="415788274">
    <w:abstractNumId w:val="14"/>
  </w:num>
  <w:num w:numId="6" w16cid:durableId="262568835">
    <w:abstractNumId w:val="7"/>
  </w:num>
  <w:num w:numId="7" w16cid:durableId="551771572">
    <w:abstractNumId w:val="13"/>
  </w:num>
  <w:num w:numId="8" w16cid:durableId="1665233673">
    <w:abstractNumId w:val="10"/>
  </w:num>
  <w:num w:numId="9" w16cid:durableId="630751089">
    <w:abstractNumId w:val="12"/>
  </w:num>
  <w:num w:numId="10" w16cid:durableId="721910229">
    <w:abstractNumId w:val="8"/>
  </w:num>
  <w:num w:numId="11" w16cid:durableId="876745732">
    <w:abstractNumId w:val="15"/>
  </w:num>
  <w:num w:numId="12" w16cid:durableId="2028091826">
    <w:abstractNumId w:val="2"/>
  </w:num>
  <w:num w:numId="13" w16cid:durableId="959384746">
    <w:abstractNumId w:val="18"/>
  </w:num>
  <w:num w:numId="14" w16cid:durableId="1574392999">
    <w:abstractNumId w:val="17"/>
  </w:num>
  <w:num w:numId="15" w16cid:durableId="1014919257">
    <w:abstractNumId w:val="3"/>
  </w:num>
  <w:num w:numId="16" w16cid:durableId="1136141039">
    <w:abstractNumId w:val="21"/>
  </w:num>
  <w:num w:numId="17" w16cid:durableId="548153946">
    <w:abstractNumId w:val="22"/>
  </w:num>
  <w:num w:numId="18" w16cid:durableId="285237155">
    <w:abstractNumId w:val="5"/>
  </w:num>
  <w:num w:numId="19" w16cid:durableId="1148521469">
    <w:abstractNumId w:val="9"/>
  </w:num>
  <w:num w:numId="20" w16cid:durableId="1589267449">
    <w:abstractNumId w:val="16"/>
  </w:num>
  <w:num w:numId="21" w16cid:durableId="14620034">
    <w:abstractNumId w:val="20"/>
  </w:num>
  <w:num w:numId="22" w16cid:durableId="1051540091">
    <w:abstractNumId w:val="6"/>
  </w:num>
  <w:num w:numId="23" w16cid:durableId="636839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CCF"/>
    <w:rsid w:val="001A777C"/>
    <w:rsid w:val="00231535"/>
    <w:rsid w:val="0029162E"/>
    <w:rsid w:val="00426D47"/>
    <w:rsid w:val="006F1CFB"/>
    <w:rsid w:val="007B6EBE"/>
    <w:rsid w:val="00823AB9"/>
    <w:rsid w:val="00AC74E8"/>
    <w:rsid w:val="00B05038"/>
    <w:rsid w:val="00C02B62"/>
    <w:rsid w:val="00D91CCF"/>
    <w:rsid w:val="00E67B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1BE77"/>
  <w15:chartTrackingRefBased/>
  <w15:docId w15:val="{5B827473-5E9A-4055-9F6A-C1AB3AAF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CCF"/>
    <w:pPr>
      <w:spacing w:before="120" w:after="0" w:line="220" w:lineRule="atLeast"/>
      <w:jc w:val="both"/>
    </w:pPr>
    <w:rPr>
      <w:rFonts w:ascii="Arial" w:eastAsia="Calibri" w:hAnsi="Arial" w:cs="Times New Roman"/>
      <w:sz w:val="20"/>
    </w:rPr>
  </w:style>
  <w:style w:type="paragraph" w:styleId="Titre1">
    <w:name w:val="heading 1"/>
    <w:basedOn w:val="Normal"/>
    <w:next w:val="Normal"/>
    <w:link w:val="Titre1Car"/>
    <w:uiPriority w:val="9"/>
    <w:qFormat/>
    <w:rsid w:val="00D91CC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Titre1"/>
    <w:next w:val="Normal"/>
    <w:link w:val="Titre2Car"/>
    <w:uiPriority w:val="9"/>
    <w:unhideWhenUsed/>
    <w:qFormat/>
    <w:rsid w:val="00D91CCF"/>
    <w:pPr>
      <w:keepNext w:val="0"/>
      <w:keepLines w:val="0"/>
      <w:spacing w:before="100" w:beforeAutospacing="1" w:after="100" w:afterAutospacing="1" w:line="240" w:lineRule="auto"/>
      <w:outlineLvl w:val="1"/>
    </w:pPr>
    <w:rPr>
      <w:rFonts w:ascii="Arial" w:eastAsia="Times New Roman" w:hAnsi="Arial" w:cs="Arial"/>
      <w:b/>
      <w:bCs/>
      <w:color w:val="000000"/>
      <w:kern w:val="36"/>
      <w:sz w:val="24"/>
      <w:szCs w:val="48"/>
      <w:lang w:eastAsia="fr-FR"/>
    </w:rPr>
  </w:style>
  <w:style w:type="paragraph" w:styleId="Titre3">
    <w:name w:val="heading 3"/>
    <w:basedOn w:val="Normal"/>
    <w:next w:val="Normal"/>
    <w:link w:val="Titre3Car"/>
    <w:uiPriority w:val="9"/>
    <w:unhideWhenUsed/>
    <w:rsid w:val="00D91CCF"/>
    <w:pPr>
      <w:keepNext/>
      <w:keepLines/>
      <w:numPr>
        <w:numId w:val="1"/>
      </w:numPr>
      <w:spacing w:before="200"/>
      <w:outlineLvl w:val="2"/>
    </w:pPr>
    <w:rPr>
      <w:rFonts w:asciiTheme="majorHAnsi" w:eastAsiaTheme="majorEastAsia" w:hAnsiTheme="majorHAnsi" w:cstheme="majorBidi"/>
      <w:b/>
      <w:bCs/>
      <w:color w:val="4472C4" w:themeColor="accent1"/>
    </w:rPr>
  </w:style>
  <w:style w:type="paragraph" w:styleId="Titre4">
    <w:name w:val="heading 4"/>
    <w:basedOn w:val="Normal"/>
    <w:next w:val="Normal"/>
    <w:link w:val="Titre4Car"/>
    <w:uiPriority w:val="9"/>
    <w:unhideWhenUsed/>
    <w:qFormat/>
    <w:rsid w:val="00D91CCF"/>
    <w:pPr>
      <w:keepNext/>
      <w:keepLines/>
      <w:spacing w:before="240"/>
      <w:outlineLvl w:val="3"/>
    </w:pPr>
    <w:rPr>
      <w:rFonts w:eastAsiaTheme="majorEastAsia" w:cstheme="majorBidi"/>
      <w:b/>
      <w:i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91CCF"/>
    <w:rPr>
      <w:rFonts w:ascii="Arial" w:eastAsia="Times New Roman" w:hAnsi="Arial" w:cs="Arial"/>
      <w:b/>
      <w:bCs/>
      <w:color w:val="000000"/>
      <w:kern w:val="36"/>
      <w:sz w:val="24"/>
      <w:szCs w:val="48"/>
      <w:lang w:eastAsia="fr-FR"/>
    </w:rPr>
  </w:style>
  <w:style w:type="character" w:customStyle="1" w:styleId="Titre3Car">
    <w:name w:val="Titre 3 Car"/>
    <w:basedOn w:val="Policepardfaut"/>
    <w:link w:val="Titre3"/>
    <w:uiPriority w:val="9"/>
    <w:rsid w:val="00D91CCF"/>
    <w:rPr>
      <w:rFonts w:asciiTheme="majorHAnsi" w:eastAsiaTheme="majorEastAsia" w:hAnsiTheme="majorHAnsi" w:cstheme="majorBidi"/>
      <w:b/>
      <w:bCs/>
      <w:color w:val="4472C4" w:themeColor="accent1"/>
      <w:sz w:val="20"/>
    </w:rPr>
  </w:style>
  <w:style w:type="character" w:customStyle="1" w:styleId="Titre4Car">
    <w:name w:val="Titre 4 Car"/>
    <w:basedOn w:val="Policepardfaut"/>
    <w:link w:val="Titre4"/>
    <w:uiPriority w:val="9"/>
    <w:rsid w:val="00D91CCF"/>
    <w:rPr>
      <w:rFonts w:ascii="Arial" w:eastAsiaTheme="majorEastAsia" w:hAnsi="Arial" w:cstheme="majorBidi"/>
      <w:b/>
      <w:iCs/>
      <w:sz w:val="24"/>
    </w:rPr>
  </w:style>
  <w:style w:type="paragraph" w:styleId="Paragraphedeliste">
    <w:name w:val="List Paragraph"/>
    <w:basedOn w:val="Normal"/>
    <w:uiPriority w:val="34"/>
    <w:qFormat/>
    <w:rsid w:val="00D91CCF"/>
    <w:pPr>
      <w:ind w:left="720"/>
      <w:contextualSpacing/>
    </w:pPr>
  </w:style>
  <w:style w:type="table" w:styleId="Grilledutableau">
    <w:name w:val="Table Grid"/>
    <w:basedOn w:val="TableauNormal"/>
    <w:uiPriority w:val="59"/>
    <w:rsid w:val="00D91CC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D91CC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1403</Words>
  <Characters>7718</Characters>
  <Application>Microsoft Office Word</Application>
  <DocSecurity>0</DocSecurity>
  <Lines>64</Lines>
  <Paragraphs>18</Paragraphs>
  <ScaleCrop>false</ScaleCrop>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10</cp:revision>
  <dcterms:created xsi:type="dcterms:W3CDTF">2022-01-18T10:09:00Z</dcterms:created>
  <dcterms:modified xsi:type="dcterms:W3CDTF">2025-09-26T19:24:00Z</dcterms:modified>
</cp:coreProperties>
</file>