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6"/>
      </w:tblGrid>
      <w:tr w:rsidR="00E265C6" w:rsidRPr="009067DA" w14:paraId="04F06C55" w14:textId="77777777" w:rsidTr="00FC780C">
        <w:trPr>
          <w:trHeight w:val="386"/>
        </w:trPr>
        <w:tc>
          <w:tcPr>
            <w:tcW w:w="9918" w:type="dxa"/>
            <w:gridSpan w:val="3"/>
            <w:shd w:val="clear" w:color="auto" w:fill="FFFF00"/>
          </w:tcPr>
          <w:p w14:paraId="320856A3" w14:textId="77777777" w:rsidR="00E265C6" w:rsidRPr="009067DA" w:rsidRDefault="00E265C6" w:rsidP="00FC780C">
            <w:pPr>
              <w:pStyle w:val="Titre3"/>
              <w:numPr>
                <w:ilvl w:val="0"/>
                <w:numId w:val="0"/>
              </w:numPr>
              <w:spacing w:before="120"/>
              <w:jc w:val="center"/>
              <w:rPr>
                <w:sz w:val="28"/>
              </w:rPr>
            </w:pPr>
            <w:bookmarkStart w:id="0" w:name="_Hlk153518376"/>
            <w:r w:rsidRPr="009067DA">
              <w:rPr>
                <w:sz w:val="28"/>
              </w:rPr>
              <w:t xml:space="preserve">Réflexion </w:t>
            </w:r>
            <w:r>
              <w:rPr>
                <w:sz w:val="28"/>
              </w:rPr>
              <w:t>5</w:t>
            </w:r>
            <w:r w:rsidRPr="009067DA">
              <w:rPr>
                <w:sz w:val="28"/>
              </w:rPr>
              <w:t xml:space="preserve"> </w:t>
            </w:r>
            <w:r>
              <w:rPr>
                <w:sz w:val="28"/>
              </w:rPr>
              <w:t>–</w:t>
            </w:r>
            <w:r w:rsidRPr="009067DA">
              <w:rPr>
                <w:sz w:val="28"/>
              </w:rPr>
              <w:t xml:space="preserve"> </w:t>
            </w:r>
            <w:r>
              <w:rPr>
                <w:sz w:val="28"/>
              </w:rPr>
              <w:t>Comprendre les ICPE</w:t>
            </w:r>
          </w:p>
        </w:tc>
      </w:tr>
      <w:tr w:rsidR="00E265C6" w:rsidRPr="00173A63" w14:paraId="5BA3F15C" w14:textId="77777777" w:rsidTr="00FC780C">
        <w:trPr>
          <w:trHeight w:val="267"/>
        </w:trPr>
        <w:tc>
          <w:tcPr>
            <w:tcW w:w="1413" w:type="dxa"/>
            <w:shd w:val="clear" w:color="auto" w:fill="FFFF00"/>
            <w:vAlign w:val="center"/>
          </w:tcPr>
          <w:p w14:paraId="1678A670" w14:textId="77777777" w:rsidR="00E265C6" w:rsidRPr="00173A63" w:rsidRDefault="00E265C6" w:rsidP="00FC780C">
            <w:pPr>
              <w:spacing w:after="0"/>
              <w:jc w:val="center"/>
              <w:rPr>
                <w:i/>
              </w:rPr>
            </w:pPr>
            <w:r w:rsidRPr="00FF0A24">
              <w:rPr>
                <w:b/>
              </w:rPr>
              <w:t>Durée</w:t>
            </w:r>
            <w:r>
              <w:t xml:space="preserve"> : 20’</w:t>
            </w:r>
          </w:p>
        </w:tc>
        <w:tc>
          <w:tcPr>
            <w:tcW w:w="7229" w:type="dxa"/>
            <w:shd w:val="clear" w:color="auto" w:fill="FFFF00"/>
            <w:vAlign w:val="center"/>
          </w:tcPr>
          <w:p w14:paraId="2D95DAF3" w14:textId="77777777" w:rsidR="00E265C6" w:rsidRPr="00173A63" w:rsidRDefault="00E265C6" w:rsidP="00FC780C">
            <w:pPr>
              <w:spacing w:after="0"/>
              <w:jc w:val="center"/>
              <w:rPr>
                <w:i/>
              </w:rPr>
            </w:pPr>
            <w:r>
              <w:rPr>
                <w:i/>
                <w:noProof/>
              </w:rPr>
              <w:drawing>
                <wp:inline distT="0" distB="0" distL="0" distR="0" wp14:anchorId="0E12F4CA" wp14:editId="0845A4BB">
                  <wp:extent cx="325755" cy="325755"/>
                  <wp:effectExtent l="0" t="0" r="0" b="0"/>
                  <wp:docPr id="1045135498" name="Graphique 1045135498"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sidRPr="001F2C62">
              <w:rPr>
                <w:iCs/>
              </w:rPr>
              <w:t>ou</w:t>
            </w:r>
            <w:r>
              <w:rPr>
                <w:i/>
              </w:rPr>
              <w:t xml:space="preserve"> </w:t>
            </w:r>
            <w:r>
              <w:rPr>
                <w:i/>
                <w:noProof/>
              </w:rPr>
              <w:drawing>
                <wp:inline distT="0" distB="0" distL="0" distR="0" wp14:anchorId="72CD4803" wp14:editId="48509021">
                  <wp:extent cx="365760" cy="365760"/>
                  <wp:effectExtent l="0" t="0" r="0" b="0"/>
                  <wp:docPr id="455953301" name="Graphique 455953301"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1276" w:type="dxa"/>
            <w:shd w:val="clear" w:color="auto" w:fill="FFFF00"/>
            <w:vAlign w:val="center"/>
          </w:tcPr>
          <w:p w14:paraId="68FD61F5" w14:textId="77777777" w:rsidR="00E265C6" w:rsidRPr="006D456D" w:rsidRDefault="00E265C6" w:rsidP="00FC780C">
            <w:pPr>
              <w:spacing w:after="0"/>
              <w:jc w:val="center"/>
              <w:rPr>
                <w:b/>
                <w:bCs/>
                <w:iCs/>
              </w:rPr>
            </w:pPr>
            <w:r w:rsidRPr="006D456D">
              <w:rPr>
                <w:b/>
                <w:bCs/>
                <w:iCs/>
              </w:rPr>
              <w:t>Source</w:t>
            </w:r>
          </w:p>
        </w:tc>
      </w:tr>
    </w:tbl>
    <w:p w14:paraId="3B6F2BD7" w14:textId="77777777" w:rsidR="00E265C6" w:rsidRDefault="00E265C6" w:rsidP="00E265C6">
      <w:pPr>
        <w:spacing w:before="120" w:after="0" w:line="240" w:lineRule="auto"/>
        <w:jc w:val="both"/>
        <w:rPr>
          <w:rFonts w:eastAsia="Calibri" w:cs="Arial"/>
          <w:b/>
          <w:sz w:val="24"/>
        </w:rPr>
      </w:pPr>
      <w:r>
        <w:rPr>
          <w:noProof/>
          <w:sz w:val="28"/>
        </w:rPr>
        <w:drawing>
          <wp:anchor distT="0" distB="0" distL="114300" distR="114300" simplePos="0" relativeHeight="251659264" behindDoc="0" locked="0" layoutInCell="1" allowOverlap="1" wp14:anchorId="55B61156" wp14:editId="44C3F7CB">
            <wp:simplePos x="0" y="0"/>
            <wp:positionH relativeFrom="column">
              <wp:posOffset>5282438</wp:posOffset>
            </wp:positionH>
            <wp:positionV relativeFrom="paragraph">
              <wp:posOffset>114681</wp:posOffset>
            </wp:positionV>
            <wp:extent cx="981075" cy="1199515"/>
            <wp:effectExtent l="19050" t="19050" r="28575" b="19685"/>
            <wp:wrapSquare wrapText="bothSides"/>
            <wp:docPr id="1821438107" name="Image 1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438107" name="Image 11" descr="Une image contenant car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119951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D620A2">
        <w:rPr>
          <w:rFonts w:eastAsia="Calibri" w:cs="Arial"/>
          <w:b/>
          <w:sz w:val="24"/>
        </w:rPr>
        <w:t>Travail à faire</w:t>
      </w:r>
    </w:p>
    <w:p w14:paraId="32F1B3A5" w14:textId="77777777" w:rsidR="00E265C6" w:rsidRDefault="00E265C6" w:rsidP="00E265C6">
      <w:pPr>
        <w:spacing w:before="60" w:after="60"/>
      </w:pPr>
      <w:r>
        <w:t xml:space="preserve">Après avoir lu les </w:t>
      </w:r>
      <w:r w:rsidRPr="00A6582B">
        <w:rPr>
          <w:b/>
          <w:bCs/>
        </w:rPr>
        <w:t>documents 1</w:t>
      </w:r>
      <w:r>
        <w:rPr>
          <w:b/>
          <w:bCs/>
        </w:rPr>
        <w:t xml:space="preserve"> </w:t>
      </w:r>
      <w:r w:rsidRPr="000F066A">
        <w:t>et</w:t>
      </w:r>
      <w:r w:rsidRPr="00A6582B">
        <w:rPr>
          <w:b/>
          <w:bCs/>
        </w:rPr>
        <w:t xml:space="preserve"> 2</w:t>
      </w:r>
      <w:r>
        <w:t>, répondez aux questions suivantes :</w:t>
      </w:r>
    </w:p>
    <w:p w14:paraId="7D8580ED" w14:textId="77777777" w:rsidR="00E265C6" w:rsidRDefault="00E265C6" w:rsidP="00E265C6">
      <w:pPr>
        <w:pStyle w:val="Paragraphedeliste"/>
        <w:numPr>
          <w:ilvl w:val="0"/>
          <w:numId w:val="3"/>
        </w:numPr>
      </w:pPr>
      <w:r>
        <w:t>Quelle est l’utilité des ICPE ?</w:t>
      </w:r>
    </w:p>
    <w:p w14:paraId="05B008F3" w14:textId="77777777" w:rsidR="00E265C6" w:rsidRDefault="00E265C6" w:rsidP="00E265C6">
      <w:pPr>
        <w:pStyle w:val="Paragraphedeliste"/>
        <w:numPr>
          <w:ilvl w:val="0"/>
          <w:numId w:val="3"/>
        </w:numPr>
      </w:pPr>
      <w:r w:rsidRPr="00E9490D">
        <w:t>Quelles sont les règles applicables aux ICP</w:t>
      </w:r>
      <w:r>
        <w:t>E ?</w:t>
      </w:r>
    </w:p>
    <w:p w14:paraId="4D5407B3" w14:textId="77777777" w:rsidR="00E265C6" w:rsidRDefault="00E265C6" w:rsidP="00E265C6">
      <w:pPr>
        <w:pStyle w:val="Paragraphedeliste"/>
        <w:numPr>
          <w:ilvl w:val="0"/>
          <w:numId w:val="3"/>
        </w:numPr>
      </w:pPr>
      <w:r w:rsidRPr="00E9490D">
        <w:t xml:space="preserve">Que s'est-il passé dans l'usine </w:t>
      </w:r>
      <w:proofErr w:type="spellStart"/>
      <w:r w:rsidRPr="00E9490D">
        <w:t>AZF</w:t>
      </w:r>
      <w:proofErr w:type="spellEnd"/>
      <w:r>
        <w:t> ?</w:t>
      </w:r>
    </w:p>
    <w:p w14:paraId="2BB84B6D" w14:textId="77777777" w:rsidR="00E265C6" w:rsidRDefault="00E265C6" w:rsidP="00E265C6">
      <w:pPr>
        <w:pStyle w:val="Paragraphedeliste"/>
        <w:numPr>
          <w:ilvl w:val="0"/>
          <w:numId w:val="3"/>
        </w:numPr>
      </w:pPr>
      <w:r w:rsidRPr="00E9490D">
        <w:t xml:space="preserve">Quelle </w:t>
      </w:r>
      <w:r>
        <w:t>est</w:t>
      </w:r>
      <w:r w:rsidRPr="00E9490D">
        <w:t xml:space="preserve"> </w:t>
      </w:r>
      <w:r>
        <w:t>l’héritage d’</w:t>
      </w:r>
      <w:proofErr w:type="spellStart"/>
      <w:r>
        <w:t>AZF</w:t>
      </w:r>
      <w:proofErr w:type="spellEnd"/>
      <w:r>
        <w:t> ?</w:t>
      </w:r>
      <w:r w:rsidRPr="00971C5F">
        <w:rPr>
          <w:noProof/>
          <w:sz w:val="28"/>
        </w:rPr>
        <w:t xml:space="preserve"> </w:t>
      </w:r>
    </w:p>
    <w:p w14:paraId="58324F91" w14:textId="77777777" w:rsidR="00E265C6" w:rsidRDefault="00E265C6" w:rsidP="00E265C6">
      <w:pPr>
        <w:pStyle w:val="Paragraphedeliste"/>
        <w:numPr>
          <w:ilvl w:val="0"/>
          <w:numId w:val="3"/>
        </w:numPr>
      </w:pPr>
      <w:r>
        <w:t xml:space="preserve">Quel danger présente la société </w:t>
      </w:r>
      <w:proofErr w:type="spellStart"/>
      <w:r>
        <w:t>Noriap</w:t>
      </w:r>
      <w:proofErr w:type="spellEnd"/>
      <w:r>
        <w:t> ?</w:t>
      </w:r>
    </w:p>
    <w:p w14:paraId="1D2345A5" w14:textId="77777777" w:rsidR="00E265C6" w:rsidRDefault="00E265C6" w:rsidP="00E265C6">
      <w:pPr>
        <w:pStyle w:val="Paragraphedeliste"/>
        <w:ind w:left="360"/>
      </w:pPr>
    </w:p>
    <w:p w14:paraId="6D3387DB" w14:textId="77777777" w:rsidR="00E265C6" w:rsidRPr="009A2BC5" w:rsidRDefault="00E265C6" w:rsidP="00E265C6">
      <w:pPr>
        <w:pStyle w:val="Titre4"/>
        <w:shd w:val="clear" w:color="auto" w:fill="FFFFFF"/>
        <w:spacing w:before="0" w:line="432" w:lineRule="atLeast"/>
        <w:jc w:val="left"/>
        <w:textAlignment w:val="baseline"/>
        <w:rPr>
          <w:rStyle w:val="lev"/>
          <w:sz w:val="24"/>
          <w:szCs w:val="24"/>
          <w:bdr w:val="none" w:sz="0" w:space="0" w:color="auto" w:frame="1"/>
        </w:rPr>
      </w:pPr>
      <w:r w:rsidRPr="00A6582B">
        <w:rPr>
          <w:rFonts w:cs="Arial"/>
          <w:bCs/>
          <w:color w:val="FFFFFF" w:themeColor="background1"/>
          <w:sz w:val="24"/>
          <w:szCs w:val="24"/>
          <w:highlight w:val="red"/>
        </w:rPr>
        <w:t>Doc. 1</w:t>
      </w:r>
      <w:r w:rsidRPr="00762ABE">
        <w:rPr>
          <w:rFonts w:cs="Arial"/>
          <w:color w:val="FFFFFF" w:themeColor="background1"/>
          <w:sz w:val="24"/>
          <w:szCs w:val="24"/>
          <w:highlight w:val="red"/>
        </w:rPr>
        <w:t> </w:t>
      </w:r>
      <w:r>
        <w:rPr>
          <w:rFonts w:cs="Arial"/>
          <w:color w:val="FFFFFF" w:themeColor="background1"/>
          <w:sz w:val="24"/>
          <w:szCs w:val="24"/>
        </w:rPr>
        <w:t xml:space="preserve"> </w:t>
      </w:r>
      <w:r w:rsidRPr="009A2BC5">
        <w:rPr>
          <w:rStyle w:val="lev"/>
          <w:sz w:val="24"/>
          <w:szCs w:val="24"/>
          <w:bdr w:val="none" w:sz="0" w:space="0" w:color="auto" w:frame="1"/>
        </w:rPr>
        <w:t>Les installations classées pour la protection de l’environnement (ICPE)</w:t>
      </w:r>
    </w:p>
    <w:p w14:paraId="6CEFD03F" w14:textId="77777777" w:rsidR="00E265C6" w:rsidRPr="009A2BC5" w:rsidRDefault="00E265C6" w:rsidP="00E265C6">
      <w:pPr>
        <w:spacing w:before="60" w:after="60"/>
        <w:rPr>
          <w:i/>
          <w:iCs/>
          <w:sz w:val="18"/>
          <w:szCs w:val="20"/>
        </w:rPr>
      </w:pPr>
      <w:r w:rsidRPr="009A2BC5">
        <w:rPr>
          <w:i/>
          <w:iCs/>
          <w:sz w:val="18"/>
          <w:szCs w:val="20"/>
        </w:rPr>
        <w:t> Source : https://outil2amenagement.cerema.fr/</w:t>
      </w:r>
    </w:p>
    <w:p w14:paraId="4714EC1C" w14:textId="77777777" w:rsidR="00E265C6" w:rsidRPr="009A2BC5" w:rsidRDefault="00E265C6" w:rsidP="00E265C6">
      <w:pPr>
        <w:spacing w:after="120"/>
        <w:jc w:val="both"/>
        <w:rPr>
          <w:b/>
          <w:bCs/>
          <w:sz w:val="18"/>
          <w:szCs w:val="20"/>
        </w:rPr>
      </w:pPr>
      <w:r w:rsidRPr="009A2BC5">
        <w:rPr>
          <w:b/>
          <w:bCs/>
          <w:sz w:val="18"/>
          <w:szCs w:val="20"/>
        </w:rPr>
        <w:t>Les ICPE concernent toutes les exploitations industrielles ou agricoles susceptibles de créer des risques ou de provoquer des pollutions ou nuisances, notamment pour la sécurité et la santé des riverains, l’environnement…</w:t>
      </w:r>
    </w:p>
    <w:p w14:paraId="08B2C551" w14:textId="77777777" w:rsidR="00E265C6" w:rsidRPr="009A2BC5" w:rsidRDefault="00E265C6" w:rsidP="00E265C6">
      <w:pPr>
        <w:spacing w:after="0" w:line="240" w:lineRule="auto"/>
        <w:jc w:val="both"/>
        <w:rPr>
          <w:sz w:val="18"/>
          <w:szCs w:val="18"/>
        </w:rPr>
      </w:pPr>
      <w:r w:rsidRPr="009A2BC5">
        <w:rPr>
          <w:sz w:val="18"/>
          <w:szCs w:val="18"/>
        </w:rPr>
        <w:t>Les installations classées pour la protection de l’environnement (ICPE) concernent des installations pouvant présenter des dangers ou inconvénients pour :</w:t>
      </w:r>
    </w:p>
    <w:p w14:paraId="4D48716B" w14:textId="77777777" w:rsidR="00E265C6" w:rsidRPr="009A2BC5" w:rsidRDefault="00E265C6" w:rsidP="00E265C6">
      <w:pPr>
        <w:pStyle w:val="Paragraphedeliste"/>
        <w:numPr>
          <w:ilvl w:val="0"/>
          <w:numId w:val="4"/>
        </w:numPr>
        <w:tabs>
          <w:tab w:val="clear" w:pos="360"/>
        </w:tabs>
        <w:ind w:left="142" w:hanging="142"/>
        <w:rPr>
          <w:sz w:val="18"/>
          <w:szCs w:val="18"/>
        </w:rPr>
      </w:pPr>
      <w:r w:rsidRPr="009A2BC5">
        <w:rPr>
          <w:sz w:val="18"/>
          <w:szCs w:val="18"/>
        </w:rPr>
        <w:t>la commodité du voisinage, la santé, la sécurité et la salubrité publiques,</w:t>
      </w:r>
    </w:p>
    <w:p w14:paraId="6F33EA2A" w14:textId="77777777" w:rsidR="00E265C6" w:rsidRDefault="00E265C6" w:rsidP="00E265C6">
      <w:pPr>
        <w:pStyle w:val="Paragraphedeliste"/>
        <w:numPr>
          <w:ilvl w:val="0"/>
          <w:numId w:val="4"/>
        </w:numPr>
        <w:tabs>
          <w:tab w:val="clear" w:pos="360"/>
        </w:tabs>
        <w:ind w:left="142" w:hanging="142"/>
        <w:rPr>
          <w:sz w:val="18"/>
          <w:szCs w:val="18"/>
        </w:rPr>
      </w:pPr>
      <w:r w:rsidRPr="009A2BC5">
        <w:rPr>
          <w:sz w:val="18"/>
          <w:szCs w:val="18"/>
        </w:rPr>
        <w:t>l’agriculture et la protection de l’environnement (notamment de la nature et des paysages),</w:t>
      </w:r>
    </w:p>
    <w:p w14:paraId="35AB345C" w14:textId="77777777" w:rsidR="00E265C6" w:rsidRPr="009A2BC5" w:rsidRDefault="00E265C6" w:rsidP="00E265C6">
      <w:pPr>
        <w:pStyle w:val="Paragraphedeliste"/>
        <w:numPr>
          <w:ilvl w:val="0"/>
          <w:numId w:val="4"/>
        </w:numPr>
        <w:tabs>
          <w:tab w:val="clear" w:pos="360"/>
        </w:tabs>
        <w:ind w:left="142" w:hanging="142"/>
        <w:rPr>
          <w:sz w:val="18"/>
          <w:szCs w:val="18"/>
        </w:rPr>
      </w:pPr>
      <w:r w:rsidRPr="009A2BC5">
        <w:rPr>
          <w:sz w:val="18"/>
          <w:szCs w:val="18"/>
        </w:rPr>
        <w:t>l’utilisation rationnelle de l’énergie,</w:t>
      </w:r>
    </w:p>
    <w:p w14:paraId="040484DE" w14:textId="77777777" w:rsidR="00E265C6" w:rsidRPr="009A2BC5" w:rsidRDefault="00E265C6" w:rsidP="00E265C6">
      <w:pPr>
        <w:pStyle w:val="Paragraphedeliste"/>
        <w:numPr>
          <w:ilvl w:val="0"/>
          <w:numId w:val="4"/>
        </w:numPr>
        <w:tabs>
          <w:tab w:val="clear" w:pos="360"/>
        </w:tabs>
        <w:ind w:left="142" w:hanging="142"/>
        <w:rPr>
          <w:sz w:val="18"/>
          <w:szCs w:val="18"/>
        </w:rPr>
      </w:pPr>
      <w:r w:rsidRPr="009A2BC5">
        <w:rPr>
          <w:sz w:val="18"/>
          <w:szCs w:val="18"/>
        </w:rPr>
        <w:t>ou la conservation des sites et des monuments, ainsi que des éléments du patrimoine archéologique.</w:t>
      </w:r>
    </w:p>
    <w:p w14:paraId="3C69EB27" w14:textId="77777777" w:rsidR="00E265C6" w:rsidRPr="009A2BC5" w:rsidRDefault="00E265C6" w:rsidP="00E265C6">
      <w:pPr>
        <w:spacing w:before="60" w:after="0"/>
        <w:rPr>
          <w:sz w:val="18"/>
          <w:szCs w:val="18"/>
        </w:rPr>
      </w:pPr>
      <w:r w:rsidRPr="009A2BC5">
        <w:rPr>
          <w:sz w:val="18"/>
          <w:szCs w:val="18"/>
        </w:rPr>
        <w:t>Selon les critères de la nomenclature des ICPE, il peut s’agir par exemple :</w:t>
      </w:r>
    </w:p>
    <w:p w14:paraId="466EFAFA" w14:textId="77777777" w:rsidR="00E265C6" w:rsidRDefault="00E265C6" w:rsidP="00E265C6">
      <w:pPr>
        <w:pStyle w:val="Paragraphedeliste"/>
        <w:numPr>
          <w:ilvl w:val="0"/>
          <w:numId w:val="4"/>
        </w:numPr>
        <w:tabs>
          <w:tab w:val="clear" w:pos="360"/>
        </w:tabs>
        <w:spacing w:before="60"/>
        <w:ind w:left="142" w:hanging="142"/>
        <w:rPr>
          <w:sz w:val="18"/>
          <w:szCs w:val="18"/>
        </w:rPr>
      </w:pPr>
      <w:r w:rsidRPr="009A2BC5">
        <w:rPr>
          <w:sz w:val="18"/>
          <w:szCs w:val="18"/>
        </w:rPr>
        <w:t>d’usines, d’ateliers, de dépôts, de chantiers, d’exploitations de carrières…,</w:t>
      </w:r>
    </w:p>
    <w:p w14:paraId="2A9F316C" w14:textId="77777777" w:rsidR="00E265C6" w:rsidRPr="009A2BC5" w:rsidRDefault="00E265C6" w:rsidP="00E265C6">
      <w:pPr>
        <w:pStyle w:val="Paragraphedeliste"/>
        <w:numPr>
          <w:ilvl w:val="0"/>
          <w:numId w:val="4"/>
        </w:numPr>
        <w:tabs>
          <w:tab w:val="clear" w:pos="360"/>
        </w:tabs>
        <w:spacing w:before="60"/>
        <w:ind w:left="142" w:hanging="142"/>
        <w:rPr>
          <w:sz w:val="18"/>
          <w:szCs w:val="18"/>
        </w:rPr>
      </w:pPr>
      <w:r w:rsidRPr="009A2BC5">
        <w:rPr>
          <w:sz w:val="18"/>
          <w:szCs w:val="18"/>
        </w:rPr>
        <w:t>en matière agricole, de silos et installations de stockage en vrac, de dépôts de fumier et d’engrais, d’installations de méthanisation, etc.</w:t>
      </w:r>
    </w:p>
    <w:p w14:paraId="3837C597" w14:textId="77777777" w:rsidR="00E265C6" w:rsidRPr="009A2BC5" w:rsidRDefault="00E265C6" w:rsidP="00E265C6">
      <w:pPr>
        <w:spacing w:before="60" w:after="0" w:line="240" w:lineRule="auto"/>
        <w:jc w:val="both"/>
        <w:rPr>
          <w:sz w:val="18"/>
          <w:szCs w:val="18"/>
        </w:rPr>
      </w:pPr>
      <w:r w:rsidRPr="009A2BC5">
        <w:rPr>
          <w:sz w:val="18"/>
          <w:szCs w:val="18"/>
        </w:rPr>
        <w:t>La réglementation ICPE repose essentiellement sur 3 régimes distincts, selon l’importance des dangers et inconvénients que à ces installations :</w:t>
      </w:r>
    </w:p>
    <w:p w14:paraId="4EA40506" w14:textId="77777777" w:rsidR="00E265C6" w:rsidRPr="009A2BC5" w:rsidRDefault="00E265C6" w:rsidP="00E265C6">
      <w:pPr>
        <w:pStyle w:val="Paragraphedeliste"/>
        <w:numPr>
          <w:ilvl w:val="0"/>
          <w:numId w:val="5"/>
        </w:numPr>
        <w:tabs>
          <w:tab w:val="clear" w:pos="360"/>
        </w:tabs>
        <w:spacing w:after="120"/>
        <w:ind w:left="142" w:hanging="142"/>
        <w:rPr>
          <w:sz w:val="18"/>
          <w:szCs w:val="18"/>
        </w:rPr>
      </w:pPr>
      <w:r w:rsidRPr="009A2BC5">
        <w:rPr>
          <w:rStyle w:val="lev"/>
          <w:rFonts w:cs="Arial"/>
          <w:sz w:val="18"/>
          <w:szCs w:val="18"/>
        </w:rPr>
        <w:t>l’autorisation</w:t>
      </w:r>
      <w:r w:rsidRPr="009A2BC5">
        <w:rPr>
          <w:sz w:val="18"/>
          <w:szCs w:val="18"/>
        </w:rPr>
        <w:t>, applicable aux installations qui présentent de graves dangers ou inconvénients pour les enjeux rappelés ci-dessus (santé, sécurité et salubrité publiques, protection de l’environnement, etc.) ;</w:t>
      </w:r>
    </w:p>
    <w:p w14:paraId="0561A8DA" w14:textId="77777777" w:rsidR="00E265C6" w:rsidRPr="009A2BC5" w:rsidRDefault="00E265C6" w:rsidP="00E265C6">
      <w:pPr>
        <w:pStyle w:val="Paragraphedeliste"/>
        <w:numPr>
          <w:ilvl w:val="0"/>
          <w:numId w:val="5"/>
        </w:numPr>
        <w:tabs>
          <w:tab w:val="clear" w:pos="360"/>
        </w:tabs>
        <w:spacing w:after="120"/>
        <w:ind w:left="142" w:hanging="142"/>
        <w:rPr>
          <w:sz w:val="18"/>
          <w:szCs w:val="18"/>
        </w:rPr>
      </w:pPr>
      <w:r w:rsidRPr="009A2BC5">
        <w:rPr>
          <w:rStyle w:val="lev"/>
          <w:rFonts w:cs="Arial"/>
          <w:sz w:val="18"/>
          <w:szCs w:val="18"/>
        </w:rPr>
        <w:t>l’enregistrement</w:t>
      </w:r>
      <w:r w:rsidRPr="009A2BC5">
        <w:rPr>
          <w:sz w:val="18"/>
          <w:szCs w:val="18"/>
        </w:rPr>
        <w:t>, une forme d’autorisation simplifiée applicable à des installations qui présentent des dangers ou inconvénients graves pour ces mêmes enjeux mais pour lesquelles ces dangers et inconvénients peuvent, en principe, être prévenus grâce au respect de certaines prescriptions ;</w:t>
      </w:r>
    </w:p>
    <w:p w14:paraId="0E97555E" w14:textId="77777777" w:rsidR="00E265C6" w:rsidRPr="009A2BC5" w:rsidRDefault="00E265C6" w:rsidP="00E265C6">
      <w:pPr>
        <w:pStyle w:val="Paragraphedeliste"/>
        <w:numPr>
          <w:ilvl w:val="0"/>
          <w:numId w:val="5"/>
        </w:numPr>
        <w:tabs>
          <w:tab w:val="clear" w:pos="360"/>
        </w:tabs>
        <w:spacing w:after="60"/>
        <w:ind w:left="142" w:hanging="142"/>
        <w:rPr>
          <w:sz w:val="18"/>
          <w:szCs w:val="18"/>
        </w:rPr>
      </w:pPr>
      <w:r w:rsidRPr="009A2BC5">
        <w:rPr>
          <w:sz w:val="18"/>
          <w:szCs w:val="18"/>
        </w:rPr>
        <w:t>et </w:t>
      </w:r>
      <w:r w:rsidRPr="009A2BC5">
        <w:rPr>
          <w:rStyle w:val="lev"/>
          <w:rFonts w:cs="Arial"/>
          <w:color w:val="6F6F6F"/>
          <w:sz w:val="18"/>
          <w:szCs w:val="18"/>
        </w:rPr>
        <w:t xml:space="preserve">la </w:t>
      </w:r>
      <w:r w:rsidRPr="009A2BC5">
        <w:rPr>
          <w:rStyle w:val="lev"/>
          <w:rFonts w:cs="Arial"/>
          <w:sz w:val="18"/>
          <w:szCs w:val="18"/>
        </w:rPr>
        <w:t>déclaration</w:t>
      </w:r>
      <w:r w:rsidRPr="009A2BC5">
        <w:rPr>
          <w:sz w:val="18"/>
          <w:szCs w:val="18"/>
        </w:rPr>
        <w:t>, applicables à des installations qui ne présentant pas ces graves dangers ou inconvénients mais qui doivent néanmoins respecter des prescriptions générales au regard des enjeux rappelés ci-avant.</w:t>
      </w:r>
    </w:p>
    <w:p w14:paraId="5EB2A407" w14:textId="77777777" w:rsidR="00E265C6" w:rsidRPr="009A2BC5" w:rsidRDefault="00E265C6" w:rsidP="00E265C6">
      <w:pPr>
        <w:spacing w:after="120" w:line="240" w:lineRule="auto"/>
        <w:jc w:val="both"/>
        <w:rPr>
          <w:sz w:val="18"/>
          <w:szCs w:val="18"/>
        </w:rPr>
      </w:pPr>
      <w:r w:rsidRPr="009A2BC5">
        <w:rPr>
          <w:sz w:val="18"/>
          <w:szCs w:val="18"/>
        </w:rPr>
        <w:t>La législation des ICPE prévoit également des dispositions spécifiques à certaines catégories d’installations -carrières, stockage souterrain de produits dangereux, installations soumises à un plan de prévention des risques technologiques (</w:t>
      </w:r>
      <w:proofErr w:type="spellStart"/>
      <w:r w:rsidRPr="00E9490D">
        <w:rPr>
          <w:rFonts w:cs="Arial"/>
          <w:sz w:val="18"/>
          <w:szCs w:val="18"/>
        </w:rPr>
        <w:t>PPRT</w:t>
      </w:r>
      <w:proofErr w:type="spellEnd"/>
      <w:r w:rsidRPr="009A2BC5">
        <w:rPr>
          <w:sz w:val="18"/>
          <w:szCs w:val="18"/>
        </w:rPr>
        <w:t>), installations susceptibles de donner lieu à certains types de servitudes d’utilité publique (</w:t>
      </w:r>
      <w:r w:rsidRPr="00E9490D">
        <w:rPr>
          <w:rFonts w:cs="Arial"/>
          <w:sz w:val="18"/>
          <w:szCs w:val="18"/>
        </w:rPr>
        <w:t>SUP</w:t>
      </w:r>
      <w:r w:rsidRPr="009A2BC5">
        <w:rPr>
          <w:sz w:val="18"/>
          <w:szCs w:val="18"/>
        </w:rPr>
        <w:t>), etc.</w:t>
      </w:r>
    </w:p>
    <w:p w14:paraId="064B992E" w14:textId="77777777" w:rsidR="00E265C6" w:rsidRPr="00E9490D" w:rsidRDefault="00E265C6" w:rsidP="00E265C6">
      <w:pPr>
        <w:pStyle w:val="Titre4"/>
        <w:shd w:val="clear" w:color="auto" w:fill="FFFFFF"/>
        <w:spacing w:before="0" w:line="432" w:lineRule="atLeast"/>
        <w:jc w:val="left"/>
        <w:textAlignment w:val="baseline"/>
        <w:rPr>
          <w:b w:val="0"/>
          <w:bCs/>
          <w:sz w:val="36"/>
          <w:szCs w:val="36"/>
          <w:bdr w:val="none" w:sz="0" w:space="0" w:color="auto" w:frame="1"/>
        </w:rPr>
      </w:pPr>
      <w:r w:rsidRPr="00A6582B">
        <w:rPr>
          <w:rFonts w:cs="Arial"/>
          <w:bCs/>
          <w:color w:val="FFFFFF" w:themeColor="background1"/>
          <w:sz w:val="24"/>
          <w:szCs w:val="24"/>
          <w:highlight w:val="red"/>
        </w:rPr>
        <w:t xml:space="preserve">Doc. </w:t>
      </w:r>
      <w:r>
        <w:rPr>
          <w:rFonts w:cs="Arial"/>
          <w:bCs/>
          <w:color w:val="FFFFFF" w:themeColor="background1"/>
          <w:sz w:val="24"/>
          <w:szCs w:val="24"/>
          <w:highlight w:val="red"/>
        </w:rPr>
        <w:t>2</w:t>
      </w:r>
      <w:r w:rsidRPr="00762ABE">
        <w:rPr>
          <w:rFonts w:cs="Arial"/>
          <w:color w:val="FFFFFF" w:themeColor="background1"/>
          <w:sz w:val="24"/>
          <w:szCs w:val="24"/>
          <w:highlight w:val="red"/>
        </w:rPr>
        <w:t> </w:t>
      </w:r>
      <w:r>
        <w:rPr>
          <w:rFonts w:cs="Arial"/>
          <w:color w:val="FFFFFF" w:themeColor="background1"/>
          <w:sz w:val="24"/>
          <w:szCs w:val="24"/>
        </w:rPr>
        <w:t xml:space="preserve"> </w:t>
      </w:r>
      <w:r w:rsidRPr="00E9490D">
        <w:rPr>
          <w:rFonts w:cs="Arial"/>
          <w:sz w:val="24"/>
          <w:szCs w:val="24"/>
        </w:rPr>
        <w:t>L'héritage d'</w:t>
      </w:r>
      <w:proofErr w:type="spellStart"/>
      <w:r w:rsidRPr="00E9490D">
        <w:rPr>
          <w:rFonts w:cs="Arial"/>
          <w:sz w:val="24"/>
          <w:szCs w:val="24"/>
        </w:rPr>
        <w:t>AZF</w:t>
      </w:r>
      <w:proofErr w:type="spellEnd"/>
    </w:p>
    <w:p w14:paraId="1D403E1F" w14:textId="77777777" w:rsidR="00E265C6" w:rsidRPr="00E9490D" w:rsidRDefault="00E265C6" w:rsidP="00E265C6">
      <w:pPr>
        <w:spacing w:before="60" w:after="60"/>
        <w:rPr>
          <w:i/>
          <w:iCs/>
          <w:sz w:val="18"/>
          <w:szCs w:val="20"/>
        </w:rPr>
      </w:pPr>
      <w:r>
        <w:rPr>
          <w:b/>
          <w:bCs/>
          <w:noProof/>
          <w:sz w:val="36"/>
          <w:szCs w:val="36"/>
          <w:bdr w:val="none" w:sz="0" w:space="0" w:color="auto" w:frame="1"/>
        </w:rPr>
        <w:drawing>
          <wp:anchor distT="0" distB="0" distL="114300" distR="114300" simplePos="0" relativeHeight="251660288" behindDoc="0" locked="0" layoutInCell="1" allowOverlap="1" wp14:anchorId="2D0601A3" wp14:editId="5A798A5A">
            <wp:simplePos x="0" y="0"/>
            <wp:positionH relativeFrom="column">
              <wp:posOffset>4301363</wp:posOffset>
            </wp:positionH>
            <wp:positionV relativeFrom="paragraph">
              <wp:posOffset>142367</wp:posOffset>
            </wp:positionV>
            <wp:extent cx="1997075" cy="1216025"/>
            <wp:effectExtent l="0" t="0" r="3175" b="3175"/>
            <wp:wrapSquare wrapText="bothSides"/>
            <wp:docPr id="668876111" name="Image 12" descr="Une image contenant ciel, usine, plein air, pollu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76111" name="Image 12" descr="Une image contenant ciel, usine, plein air, pollutio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7075" cy="1216025"/>
                    </a:xfrm>
                    <a:prstGeom prst="rect">
                      <a:avLst/>
                    </a:prstGeom>
                  </pic:spPr>
                </pic:pic>
              </a:graphicData>
            </a:graphic>
            <wp14:sizeRelH relativeFrom="margin">
              <wp14:pctWidth>0</wp14:pctWidth>
            </wp14:sizeRelH>
            <wp14:sizeRelV relativeFrom="margin">
              <wp14:pctHeight>0</wp14:pctHeight>
            </wp14:sizeRelV>
          </wp:anchor>
        </w:drawing>
      </w:r>
      <w:r w:rsidRPr="00E9490D">
        <w:rPr>
          <w:i/>
          <w:iCs/>
          <w:sz w:val="18"/>
          <w:szCs w:val="20"/>
        </w:rPr>
        <w:t>Source : https://france3-regions.francetvinfo.fr/</w:t>
      </w:r>
    </w:p>
    <w:p w14:paraId="449BFEE2" w14:textId="77777777" w:rsidR="00E265C6" w:rsidRPr="00E9490D" w:rsidRDefault="00E265C6" w:rsidP="00E265C6">
      <w:pPr>
        <w:spacing w:after="60"/>
        <w:rPr>
          <w:rFonts w:cs="Arial"/>
          <w:color w:val="424242"/>
          <w:sz w:val="18"/>
          <w:szCs w:val="18"/>
        </w:rPr>
      </w:pPr>
      <w:r w:rsidRPr="00E9490D">
        <w:rPr>
          <w:rFonts w:cs="Arial"/>
          <w:color w:val="424242"/>
          <w:sz w:val="18"/>
          <w:szCs w:val="18"/>
        </w:rPr>
        <w:t xml:space="preserve">Le sigle </w:t>
      </w:r>
      <w:proofErr w:type="spellStart"/>
      <w:r w:rsidRPr="00E9490D">
        <w:rPr>
          <w:rFonts w:cs="Arial"/>
          <w:color w:val="424242"/>
          <w:sz w:val="18"/>
          <w:szCs w:val="18"/>
        </w:rPr>
        <w:t>PPRT</w:t>
      </w:r>
      <w:proofErr w:type="spellEnd"/>
      <w:r w:rsidRPr="00E9490D">
        <w:rPr>
          <w:rFonts w:cs="Arial"/>
          <w:color w:val="424242"/>
          <w:sz w:val="18"/>
          <w:szCs w:val="18"/>
        </w:rPr>
        <w:t xml:space="preserve"> signifie "plan de prévention des risques technologiques". C'est un héritage de la catastrophe d'</w:t>
      </w:r>
      <w:proofErr w:type="spellStart"/>
      <w:r w:rsidRPr="00E9490D">
        <w:rPr>
          <w:rFonts w:cs="Arial"/>
          <w:color w:val="424242"/>
          <w:sz w:val="18"/>
          <w:szCs w:val="18"/>
        </w:rPr>
        <w:t>AZF</w:t>
      </w:r>
      <w:proofErr w:type="spellEnd"/>
      <w:r w:rsidRPr="00E9490D">
        <w:rPr>
          <w:rFonts w:cs="Arial"/>
          <w:color w:val="424242"/>
          <w:sz w:val="18"/>
          <w:szCs w:val="18"/>
        </w:rPr>
        <w:t>, l'explosion, le 21 septembre 2001, d'une usine chimique toulousaine, dont un hangar contenait des nitrates déclassés.</w:t>
      </w:r>
    </w:p>
    <w:p w14:paraId="2F8DF2DA" w14:textId="77777777" w:rsidR="00E265C6" w:rsidRPr="00E9490D" w:rsidRDefault="00E265C6" w:rsidP="00E265C6">
      <w:pPr>
        <w:spacing w:after="60"/>
        <w:jc w:val="both"/>
        <w:rPr>
          <w:rFonts w:cs="Arial"/>
          <w:color w:val="424242"/>
          <w:sz w:val="18"/>
          <w:szCs w:val="18"/>
        </w:rPr>
      </w:pPr>
      <w:r w:rsidRPr="00E9490D">
        <w:rPr>
          <w:rFonts w:cs="Arial"/>
          <w:color w:val="424242"/>
          <w:sz w:val="18"/>
          <w:szCs w:val="18"/>
        </w:rPr>
        <w:t>Institué par la </w:t>
      </w:r>
      <w:r w:rsidRPr="00E9490D">
        <w:rPr>
          <w:rFonts w:cs="Arial"/>
          <w:color w:val="424242"/>
          <w:sz w:val="18"/>
          <w:szCs w:val="18"/>
          <w:bdr w:val="none" w:sz="0" w:space="0" w:color="auto" w:frame="1"/>
        </w:rPr>
        <w:t>loi du 30 juillet 2003</w:t>
      </w:r>
      <w:r w:rsidRPr="00E9490D">
        <w:rPr>
          <w:rFonts w:cs="Arial"/>
          <w:color w:val="424242"/>
          <w:sz w:val="18"/>
          <w:szCs w:val="18"/>
        </w:rPr>
        <w:t xml:space="preserve"> relative à la prévention des risques technologiques et naturels et à la réparation des dommages, dite </w:t>
      </w:r>
      <w:proofErr w:type="spellStart"/>
      <w:r w:rsidRPr="00E9490D">
        <w:rPr>
          <w:rFonts w:cs="Arial"/>
          <w:color w:val="424242"/>
          <w:sz w:val="18"/>
          <w:szCs w:val="18"/>
        </w:rPr>
        <w:t>AZF</w:t>
      </w:r>
      <w:proofErr w:type="spellEnd"/>
      <w:r w:rsidRPr="00E9490D">
        <w:rPr>
          <w:rFonts w:cs="Arial"/>
          <w:color w:val="424242"/>
          <w:sz w:val="18"/>
          <w:szCs w:val="18"/>
        </w:rPr>
        <w:t>, le plan de prévention des risques technologiques doit résoudre les situations délicates en matière d'urbanisme héritées du passé (usines englobées dans le tissu urbain) et mieux encadrer ou limiter l'urbanisation et la périurbanisation future.</w:t>
      </w:r>
    </w:p>
    <w:p w14:paraId="73AA6B5C" w14:textId="77777777" w:rsidR="00E265C6" w:rsidRPr="00E9490D" w:rsidRDefault="00E265C6" w:rsidP="00E265C6">
      <w:pPr>
        <w:spacing w:after="60"/>
        <w:jc w:val="both"/>
        <w:rPr>
          <w:rFonts w:cs="Arial"/>
          <w:color w:val="424242"/>
          <w:sz w:val="18"/>
          <w:szCs w:val="18"/>
        </w:rPr>
      </w:pPr>
      <w:r w:rsidRPr="00E9490D">
        <w:rPr>
          <w:rFonts w:cs="Arial"/>
          <w:color w:val="424242"/>
          <w:sz w:val="18"/>
          <w:szCs w:val="18"/>
        </w:rPr>
        <w:t xml:space="preserve">Le </w:t>
      </w:r>
      <w:proofErr w:type="spellStart"/>
      <w:r w:rsidRPr="00E9490D">
        <w:rPr>
          <w:rFonts w:cs="Arial"/>
          <w:color w:val="424242"/>
          <w:sz w:val="18"/>
          <w:szCs w:val="18"/>
        </w:rPr>
        <w:t>PPRT</w:t>
      </w:r>
      <w:proofErr w:type="spellEnd"/>
      <w:r w:rsidRPr="00E9490D">
        <w:rPr>
          <w:rFonts w:cs="Arial"/>
          <w:color w:val="424242"/>
          <w:sz w:val="18"/>
          <w:szCs w:val="18"/>
        </w:rPr>
        <w:t xml:space="preserve"> est un exemple de l'évolution des procédures et des législations </w:t>
      </w:r>
      <w:proofErr w:type="gramStart"/>
      <w:r w:rsidRPr="00E9490D">
        <w:rPr>
          <w:rFonts w:cs="Arial"/>
          <w:color w:val="424242"/>
          <w:sz w:val="18"/>
          <w:szCs w:val="18"/>
        </w:rPr>
        <w:t>suite à des événements</w:t>
      </w:r>
      <w:proofErr w:type="gramEnd"/>
      <w:r w:rsidRPr="00E9490D">
        <w:rPr>
          <w:rFonts w:cs="Arial"/>
          <w:color w:val="424242"/>
          <w:sz w:val="18"/>
          <w:szCs w:val="18"/>
        </w:rPr>
        <w:t xml:space="preserve">. Si Mélanie Da Silva Pinto ne travaillait pas encore en 2001, elle peut en revanche témoigner des conséquences de l'incendie, le 26 septembre 2019, dans l'usine </w:t>
      </w:r>
      <w:proofErr w:type="spellStart"/>
      <w:r w:rsidRPr="00E9490D">
        <w:rPr>
          <w:rFonts w:cs="Arial"/>
          <w:color w:val="424242"/>
          <w:sz w:val="18"/>
          <w:szCs w:val="18"/>
        </w:rPr>
        <w:t>Lubrizol</w:t>
      </w:r>
      <w:proofErr w:type="spellEnd"/>
      <w:r w:rsidRPr="00E9490D">
        <w:rPr>
          <w:rFonts w:cs="Arial"/>
          <w:color w:val="424242"/>
          <w:sz w:val="18"/>
          <w:szCs w:val="18"/>
        </w:rPr>
        <w:t> de Rouen qui avait généré un panache de fumée toxique : "</w:t>
      </w:r>
      <w:r w:rsidRPr="00E9490D">
        <w:rPr>
          <w:rStyle w:val="Accentuation"/>
          <w:rFonts w:cs="Arial"/>
          <w:color w:val="424242"/>
          <w:sz w:val="18"/>
          <w:szCs w:val="18"/>
        </w:rPr>
        <w:t xml:space="preserve">On essaie toujours d'analyser les retours d'expérience des accidents comme celui de </w:t>
      </w:r>
      <w:proofErr w:type="spellStart"/>
      <w:r w:rsidRPr="00E9490D">
        <w:rPr>
          <w:rStyle w:val="Accentuation"/>
          <w:rFonts w:cs="Arial"/>
          <w:color w:val="424242"/>
          <w:sz w:val="18"/>
          <w:szCs w:val="18"/>
        </w:rPr>
        <w:t>Lubrizol</w:t>
      </w:r>
      <w:proofErr w:type="spellEnd"/>
      <w:r w:rsidRPr="00E9490D">
        <w:rPr>
          <w:rStyle w:val="Accentuation"/>
          <w:rFonts w:cs="Arial"/>
          <w:color w:val="424242"/>
          <w:sz w:val="18"/>
          <w:szCs w:val="18"/>
        </w:rPr>
        <w:t>. Il s'est passé la nuit, donc on prend en compte cette contrainte pour vérifier que notre schéma d'alerte puisse y répondre. Est-ce qu'on serait aussi réactifs de nuit, pendant le week-end ?</w:t>
      </w:r>
      <w:r w:rsidRPr="00E9490D">
        <w:rPr>
          <w:rFonts w:cs="Arial"/>
          <w:color w:val="424242"/>
          <w:sz w:val="18"/>
          <w:szCs w:val="18"/>
        </w:rPr>
        <w:t>"</w:t>
      </w:r>
      <w:r>
        <w:rPr>
          <w:rFonts w:cs="Arial"/>
          <w:color w:val="424242"/>
          <w:sz w:val="18"/>
          <w:szCs w:val="18"/>
        </w:rPr>
        <w:t xml:space="preserve"> […]</w:t>
      </w:r>
    </w:p>
    <w:p w14:paraId="6BE5A447" w14:textId="77777777" w:rsidR="00E265C6" w:rsidRPr="00E9490D" w:rsidRDefault="00E265C6" w:rsidP="00E265C6">
      <w:pPr>
        <w:spacing w:after="60"/>
        <w:jc w:val="both"/>
        <w:rPr>
          <w:rFonts w:cs="Arial"/>
          <w:color w:val="424242"/>
          <w:sz w:val="18"/>
          <w:szCs w:val="18"/>
        </w:rPr>
      </w:pPr>
      <w:r w:rsidRPr="00E9490D">
        <w:rPr>
          <w:rFonts w:cs="Arial"/>
          <w:color w:val="424242"/>
          <w:sz w:val="18"/>
          <w:szCs w:val="18"/>
        </w:rPr>
        <w:t>Les sites classés Seveso ne sont pas les seuls à risque. Les ICPE, installations classées pour la protection de l'environnement, peuvent présenter des dangers ou des inconvénients pour les riverains. Des sites de stockage de grain de la </w:t>
      </w:r>
      <w:proofErr w:type="spellStart"/>
      <w:r w:rsidRPr="00E9490D">
        <w:rPr>
          <w:rFonts w:cs="Arial"/>
          <w:color w:val="424242"/>
          <w:sz w:val="18"/>
          <w:szCs w:val="18"/>
        </w:rPr>
        <w:t>Noriap</w:t>
      </w:r>
      <w:proofErr w:type="spellEnd"/>
      <w:r w:rsidRPr="00E9490D">
        <w:rPr>
          <w:rFonts w:cs="Arial"/>
          <w:color w:val="424242"/>
          <w:sz w:val="18"/>
          <w:szCs w:val="18"/>
        </w:rPr>
        <w:t xml:space="preserve"> relèvent de cette classification : "</w:t>
      </w:r>
      <w:r w:rsidRPr="00E9490D">
        <w:rPr>
          <w:rStyle w:val="Accentuation"/>
          <w:rFonts w:cs="Arial"/>
          <w:color w:val="424242"/>
          <w:sz w:val="18"/>
          <w:szCs w:val="18"/>
        </w:rPr>
        <w:t>Le grain peut exploser</w:t>
      </w:r>
      <w:r w:rsidRPr="00E9490D">
        <w:rPr>
          <w:rFonts w:cs="Arial"/>
          <w:color w:val="424242"/>
          <w:sz w:val="18"/>
          <w:szCs w:val="18"/>
        </w:rPr>
        <w:t>", rappelle Mélanie Da Silva Pinto.</w:t>
      </w:r>
    </w:p>
    <w:p w14:paraId="63DC1B5F" w14:textId="77777777" w:rsidR="00E265C6" w:rsidRDefault="00E265C6" w:rsidP="00E265C6">
      <w:pPr>
        <w:spacing w:after="120"/>
        <w:rPr>
          <w:rFonts w:eastAsia="Calibri" w:cs="Arial"/>
          <w:sz w:val="18"/>
          <w:szCs w:val="18"/>
        </w:rPr>
      </w:pPr>
    </w:p>
    <w:bookmarkEnd w:id="0"/>
    <w:p w14:paraId="54C85E97" w14:textId="77777777" w:rsidR="000B1679" w:rsidRDefault="000B1679"/>
    <w:p w14:paraId="2DC0B2AC" w14:textId="77777777" w:rsidR="00E265C6" w:rsidRDefault="00E265C6"/>
    <w:p w14:paraId="01150FB5" w14:textId="3D83CCFE" w:rsidR="00E265C6" w:rsidRDefault="00E265C6" w:rsidP="00E265C6">
      <w:pPr>
        <w:spacing w:before="120" w:after="0" w:line="240" w:lineRule="auto"/>
        <w:jc w:val="both"/>
        <w:rPr>
          <w:rFonts w:eastAsia="Calibri" w:cs="Arial"/>
          <w:b/>
          <w:sz w:val="24"/>
        </w:rPr>
      </w:pPr>
      <w:r>
        <w:rPr>
          <w:rFonts w:eastAsia="Calibri" w:cs="Arial"/>
          <w:b/>
          <w:sz w:val="24"/>
        </w:rPr>
        <w:t>Réponses</w:t>
      </w:r>
    </w:p>
    <w:p w14:paraId="7630B17C" w14:textId="77777777" w:rsidR="00E265C6" w:rsidRDefault="00E265C6" w:rsidP="00E265C6">
      <w:pPr>
        <w:pStyle w:val="Paragraphedeliste"/>
        <w:numPr>
          <w:ilvl w:val="0"/>
          <w:numId w:val="6"/>
        </w:numPr>
        <w:spacing w:before="120"/>
      </w:pPr>
      <w:r>
        <w:t>Quelle est l’utilité des ICPE ?</w:t>
      </w:r>
    </w:p>
    <w:p w14:paraId="11CBCBEC" w14:textId="77777777" w:rsidR="00E265C6" w:rsidRDefault="00E265C6" w:rsidP="00E265C6"/>
    <w:p w14:paraId="656C76AC" w14:textId="77777777" w:rsidR="00E265C6" w:rsidRDefault="00E265C6" w:rsidP="00E265C6"/>
    <w:p w14:paraId="76F39C1C" w14:textId="77777777" w:rsidR="00E265C6" w:rsidRDefault="00E265C6" w:rsidP="00E265C6"/>
    <w:p w14:paraId="1F606FD5" w14:textId="77777777" w:rsidR="00E265C6" w:rsidRDefault="00E265C6" w:rsidP="00E265C6"/>
    <w:p w14:paraId="4515EA01" w14:textId="77777777" w:rsidR="00E265C6" w:rsidRDefault="00E265C6" w:rsidP="00E265C6">
      <w:pPr>
        <w:pStyle w:val="Paragraphedeliste"/>
        <w:numPr>
          <w:ilvl w:val="0"/>
          <w:numId w:val="6"/>
        </w:numPr>
      </w:pPr>
      <w:r w:rsidRPr="00E9490D">
        <w:t>Quelles sont les règles applicables aux ICP</w:t>
      </w:r>
      <w:r>
        <w:t>E ?</w:t>
      </w:r>
    </w:p>
    <w:p w14:paraId="19978BDD" w14:textId="77777777" w:rsidR="00E265C6" w:rsidRDefault="00E265C6" w:rsidP="00E265C6"/>
    <w:p w14:paraId="06146CCE" w14:textId="77777777" w:rsidR="00E265C6" w:rsidRDefault="00E265C6" w:rsidP="00E265C6"/>
    <w:p w14:paraId="61FE51F8" w14:textId="77777777" w:rsidR="00E265C6" w:rsidRDefault="00E265C6" w:rsidP="00E265C6"/>
    <w:p w14:paraId="0A7C102C" w14:textId="77777777" w:rsidR="00E265C6" w:rsidRDefault="00E265C6" w:rsidP="00E265C6"/>
    <w:p w14:paraId="74BF05A5" w14:textId="77777777" w:rsidR="00E265C6" w:rsidRDefault="00E265C6" w:rsidP="00E265C6">
      <w:pPr>
        <w:pStyle w:val="Paragraphedeliste"/>
        <w:numPr>
          <w:ilvl w:val="0"/>
          <w:numId w:val="6"/>
        </w:numPr>
      </w:pPr>
      <w:r w:rsidRPr="00E9490D">
        <w:t xml:space="preserve">Que s'est-il passé dans l'usine </w:t>
      </w:r>
      <w:proofErr w:type="spellStart"/>
      <w:r w:rsidRPr="00E9490D">
        <w:t>AZF</w:t>
      </w:r>
      <w:proofErr w:type="spellEnd"/>
      <w:r>
        <w:t> ?</w:t>
      </w:r>
    </w:p>
    <w:p w14:paraId="55D44D71" w14:textId="77777777" w:rsidR="00E265C6" w:rsidRDefault="00E265C6" w:rsidP="00E265C6"/>
    <w:p w14:paraId="4443C62A" w14:textId="77777777" w:rsidR="00E265C6" w:rsidRDefault="00E265C6" w:rsidP="00E265C6"/>
    <w:p w14:paraId="275CFB6F" w14:textId="77777777" w:rsidR="00E265C6" w:rsidRDefault="00E265C6" w:rsidP="00E265C6"/>
    <w:p w14:paraId="246D9F5E" w14:textId="77777777" w:rsidR="00E265C6" w:rsidRDefault="00E265C6" w:rsidP="00E265C6"/>
    <w:p w14:paraId="5F48909D" w14:textId="77777777" w:rsidR="00E265C6" w:rsidRPr="00E265C6" w:rsidRDefault="00E265C6" w:rsidP="00E265C6">
      <w:pPr>
        <w:pStyle w:val="Paragraphedeliste"/>
        <w:numPr>
          <w:ilvl w:val="0"/>
          <w:numId w:val="6"/>
        </w:numPr>
      </w:pPr>
      <w:r w:rsidRPr="00E9490D">
        <w:t xml:space="preserve">Quelle </w:t>
      </w:r>
      <w:r>
        <w:t>est</w:t>
      </w:r>
      <w:r w:rsidRPr="00E9490D">
        <w:t xml:space="preserve"> </w:t>
      </w:r>
      <w:r>
        <w:t>l’héritage d’</w:t>
      </w:r>
      <w:proofErr w:type="spellStart"/>
      <w:r>
        <w:t>AZF</w:t>
      </w:r>
      <w:proofErr w:type="spellEnd"/>
      <w:r>
        <w:t> ?</w:t>
      </w:r>
      <w:r w:rsidRPr="00E265C6">
        <w:rPr>
          <w:noProof/>
          <w:sz w:val="28"/>
        </w:rPr>
        <w:t xml:space="preserve"> </w:t>
      </w:r>
    </w:p>
    <w:p w14:paraId="779E3CDB" w14:textId="77777777" w:rsidR="00E265C6" w:rsidRDefault="00E265C6" w:rsidP="00E265C6"/>
    <w:p w14:paraId="74C2E140" w14:textId="77777777" w:rsidR="00E265C6" w:rsidRDefault="00E265C6" w:rsidP="00E265C6"/>
    <w:p w14:paraId="36DA2EF6" w14:textId="77777777" w:rsidR="00E265C6" w:rsidRDefault="00E265C6" w:rsidP="00E265C6"/>
    <w:p w14:paraId="7DE0B2AB" w14:textId="77777777" w:rsidR="00E265C6" w:rsidRDefault="00E265C6" w:rsidP="00E265C6">
      <w:pPr>
        <w:pStyle w:val="Paragraphedeliste"/>
        <w:numPr>
          <w:ilvl w:val="0"/>
          <w:numId w:val="6"/>
        </w:numPr>
      </w:pPr>
      <w:r>
        <w:t xml:space="preserve">Quel danger présente la société </w:t>
      </w:r>
      <w:proofErr w:type="spellStart"/>
      <w:r>
        <w:t>Noriap</w:t>
      </w:r>
      <w:proofErr w:type="spellEnd"/>
      <w:r>
        <w:t> ?</w:t>
      </w:r>
    </w:p>
    <w:p w14:paraId="2E07ECD2" w14:textId="77777777" w:rsidR="00E265C6" w:rsidRDefault="00E265C6"/>
    <w:sectPr w:rsidR="00E265C6" w:rsidSect="00FD7110">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alt="-" style="width:6.05pt;height:8.15pt;visibility:visible;mso-wrap-style:square" o:bullet="t">
        <v:imagedata r:id="rId1" o:title="-"/>
      </v:shape>
    </w:pict>
  </w:numPicBullet>
  <w:abstractNum w:abstractNumId="0" w15:restartNumberingAfterBreak="0">
    <w:nsid w:val="173B5F12"/>
    <w:multiLevelType w:val="hybridMultilevel"/>
    <w:tmpl w:val="0ABE857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9503773"/>
    <w:multiLevelType w:val="multilevel"/>
    <w:tmpl w:val="FC1AFC5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31F37955"/>
    <w:multiLevelType w:val="hybridMultilevel"/>
    <w:tmpl w:val="968AAD82"/>
    <w:lvl w:ilvl="0" w:tplc="0024BCFC">
      <w:start w:val="1"/>
      <w:numFmt w:val="bullet"/>
      <w:lvlText w:val=""/>
      <w:lvlPicBulletId w:val="0"/>
      <w:lvlJc w:val="left"/>
      <w:pPr>
        <w:tabs>
          <w:tab w:val="num" w:pos="360"/>
        </w:tabs>
        <w:ind w:left="360" w:hanging="360"/>
      </w:pPr>
      <w:rPr>
        <w:rFonts w:ascii="Symbol" w:hAnsi="Symbol" w:hint="default"/>
      </w:rPr>
    </w:lvl>
    <w:lvl w:ilvl="1" w:tplc="D48230EE">
      <w:numFmt w:val="bullet"/>
      <w:lvlText w:val="•"/>
      <w:lvlJc w:val="left"/>
      <w:pPr>
        <w:ind w:left="1080" w:hanging="360"/>
      </w:pPr>
      <w:rPr>
        <w:rFonts w:ascii="Arial" w:eastAsiaTheme="minorHAnsi" w:hAnsi="Arial" w:cs="Arial" w:hint="default"/>
      </w:rPr>
    </w:lvl>
    <w:lvl w:ilvl="2" w:tplc="EBD6F010">
      <w:start w:val="1"/>
      <w:numFmt w:val="bullet"/>
      <w:lvlText w:val="–"/>
      <w:lvlJc w:val="left"/>
      <w:pPr>
        <w:ind w:left="1800" w:hanging="360"/>
      </w:pPr>
      <w:rPr>
        <w:rFonts w:ascii="Arial" w:eastAsia="Times New Roman" w:hAnsi="Arial" w:cs="Arial" w:hint="default"/>
      </w:rPr>
    </w:lvl>
    <w:lvl w:ilvl="3" w:tplc="D36089E8" w:tentative="1">
      <w:start w:val="1"/>
      <w:numFmt w:val="bullet"/>
      <w:lvlText w:val=""/>
      <w:lvlJc w:val="left"/>
      <w:pPr>
        <w:tabs>
          <w:tab w:val="num" w:pos="2520"/>
        </w:tabs>
        <w:ind w:left="2520" w:hanging="360"/>
      </w:pPr>
      <w:rPr>
        <w:rFonts w:ascii="Symbol" w:hAnsi="Symbol" w:hint="default"/>
      </w:rPr>
    </w:lvl>
    <w:lvl w:ilvl="4" w:tplc="345897C8" w:tentative="1">
      <w:start w:val="1"/>
      <w:numFmt w:val="bullet"/>
      <w:lvlText w:val=""/>
      <w:lvlJc w:val="left"/>
      <w:pPr>
        <w:tabs>
          <w:tab w:val="num" w:pos="3240"/>
        </w:tabs>
        <w:ind w:left="3240" w:hanging="360"/>
      </w:pPr>
      <w:rPr>
        <w:rFonts w:ascii="Symbol" w:hAnsi="Symbol" w:hint="default"/>
      </w:rPr>
    </w:lvl>
    <w:lvl w:ilvl="5" w:tplc="68CA8694" w:tentative="1">
      <w:start w:val="1"/>
      <w:numFmt w:val="bullet"/>
      <w:lvlText w:val=""/>
      <w:lvlJc w:val="left"/>
      <w:pPr>
        <w:tabs>
          <w:tab w:val="num" w:pos="3960"/>
        </w:tabs>
        <w:ind w:left="3960" w:hanging="360"/>
      </w:pPr>
      <w:rPr>
        <w:rFonts w:ascii="Symbol" w:hAnsi="Symbol" w:hint="default"/>
      </w:rPr>
    </w:lvl>
    <w:lvl w:ilvl="6" w:tplc="65FCD0D4" w:tentative="1">
      <w:start w:val="1"/>
      <w:numFmt w:val="bullet"/>
      <w:lvlText w:val=""/>
      <w:lvlJc w:val="left"/>
      <w:pPr>
        <w:tabs>
          <w:tab w:val="num" w:pos="4680"/>
        </w:tabs>
        <w:ind w:left="4680" w:hanging="360"/>
      </w:pPr>
      <w:rPr>
        <w:rFonts w:ascii="Symbol" w:hAnsi="Symbol" w:hint="default"/>
      </w:rPr>
    </w:lvl>
    <w:lvl w:ilvl="7" w:tplc="0E7CE852" w:tentative="1">
      <w:start w:val="1"/>
      <w:numFmt w:val="bullet"/>
      <w:lvlText w:val=""/>
      <w:lvlJc w:val="left"/>
      <w:pPr>
        <w:tabs>
          <w:tab w:val="num" w:pos="5400"/>
        </w:tabs>
        <w:ind w:left="5400" w:hanging="360"/>
      </w:pPr>
      <w:rPr>
        <w:rFonts w:ascii="Symbol" w:hAnsi="Symbol" w:hint="default"/>
      </w:rPr>
    </w:lvl>
    <w:lvl w:ilvl="8" w:tplc="2EB42F3C"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325511BA"/>
    <w:multiLevelType w:val="hybridMultilevel"/>
    <w:tmpl w:val="83DE7B88"/>
    <w:lvl w:ilvl="0" w:tplc="0024BCFC">
      <w:start w:val="1"/>
      <w:numFmt w:val="bullet"/>
      <w:lvlText w:val=""/>
      <w:lvlPicBulletId w:val="0"/>
      <w:lvlJc w:val="left"/>
      <w:pPr>
        <w:tabs>
          <w:tab w:val="num" w:pos="360"/>
        </w:tabs>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EF27AE"/>
    <w:multiLevelType w:val="multilevel"/>
    <w:tmpl w:val="4B9650F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599A2FC9"/>
    <w:multiLevelType w:val="hybridMultilevel"/>
    <w:tmpl w:val="A25A059A"/>
    <w:lvl w:ilvl="0" w:tplc="6396F768">
      <w:start w:val="1"/>
      <w:numFmt w:val="bullet"/>
      <w:pStyle w:val="Titre3"/>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16cid:durableId="1106313980">
    <w:abstractNumId w:val="5"/>
  </w:num>
  <w:num w:numId="2" w16cid:durableId="1619265005">
    <w:abstractNumId w:val="1"/>
  </w:num>
  <w:num w:numId="3" w16cid:durableId="1918247880">
    <w:abstractNumId w:val="4"/>
  </w:num>
  <w:num w:numId="4" w16cid:durableId="1306425035">
    <w:abstractNumId w:val="2"/>
  </w:num>
  <w:num w:numId="5" w16cid:durableId="991257721">
    <w:abstractNumId w:val="3"/>
  </w:num>
  <w:num w:numId="6" w16cid:durableId="1287199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10"/>
    <w:rsid w:val="000B1679"/>
    <w:rsid w:val="00421FEC"/>
    <w:rsid w:val="008232CF"/>
    <w:rsid w:val="00AE6C59"/>
    <w:rsid w:val="00E265C6"/>
    <w:rsid w:val="00FD71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91EB"/>
  <w15:chartTrackingRefBased/>
  <w15:docId w15:val="{9054AC20-3735-410B-9753-1B548BD6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110"/>
    <w:rPr>
      <w:rFonts w:ascii="Arial" w:hAnsi="Arial"/>
      <w:sz w:val="20"/>
    </w:rPr>
  </w:style>
  <w:style w:type="paragraph" w:styleId="Titre3">
    <w:name w:val="heading 3"/>
    <w:basedOn w:val="Paragraphedeliste"/>
    <w:next w:val="Normal"/>
    <w:link w:val="Titre3Car"/>
    <w:uiPriority w:val="9"/>
    <w:unhideWhenUsed/>
    <w:qFormat/>
    <w:rsid w:val="00FD7110"/>
    <w:pPr>
      <w:numPr>
        <w:numId w:val="1"/>
      </w:numPr>
      <w:spacing w:after="120"/>
      <w:outlineLvl w:val="2"/>
    </w:pPr>
    <w:rPr>
      <w:rFonts w:eastAsia="Times New Roman" w:cs="Arial"/>
      <w:b/>
      <w:color w:val="000000"/>
      <w:sz w:val="24"/>
      <w:szCs w:val="20"/>
      <w:lang w:eastAsia="fr-FR"/>
    </w:rPr>
  </w:style>
  <w:style w:type="paragraph" w:styleId="Titre4">
    <w:name w:val="heading 4"/>
    <w:basedOn w:val="Normal"/>
    <w:next w:val="Normal"/>
    <w:link w:val="Titre4Car"/>
    <w:uiPriority w:val="9"/>
    <w:unhideWhenUsed/>
    <w:qFormat/>
    <w:rsid w:val="00FD7110"/>
    <w:pPr>
      <w:spacing w:before="240" w:after="0" w:line="240" w:lineRule="auto"/>
      <w:jc w:val="both"/>
      <w:outlineLvl w:val="3"/>
    </w:pPr>
    <w:rPr>
      <w:rFonts w:eastAsia="Calibri" w:cs="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D7110"/>
    <w:rPr>
      <w:rFonts w:ascii="Arial" w:eastAsia="Times New Roman" w:hAnsi="Arial" w:cs="Arial"/>
      <w:b/>
      <w:color w:val="000000"/>
      <w:sz w:val="24"/>
      <w:szCs w:val="20"/>
      <w:lang w:eastAsia="fr-FR"/>
    </w:rPr>
  </w:style>
  <w:style w:type="character" w:customStyle="1" w:styleId="Titre4Car">
    <w:name w:val="Titre 4 Car"/>
    <w:basedOn w:val="Policepardfaut"/>
    <w:link w:val="Titre4"/>
    <w:uiPriority w:val="9"/>
    <w:rsid w:val="00FD7110"/>
    <w:rPr>
      <w:rFonts w:ascii="Arial" w:eastAsia="Calibri" w:hAnsi="Arial" w:cs="Times New Roman"/>
      <w:b/>
      <w:sz w:val="20"/>
    </w:rPr>
  </w:style>
  <w:style w:type="paragraph" w:styleId="Paragraphedeliste">
    <w:name w:val="List Paragraph"/>
    <w:basedOn w:val="Normal"/>
    <w:uiPriority w:val="34"/>
    <w:qFormat/>
    <w:rsid w:val="00FD7110"/>
    <w:pPr>
      <w:spacing w:after="0" w:line="240" w:lineRule="auto"/>
      <w:ind w:left="720"/>
      <w:contextualSpacing/>
      <w:jc w:val="both"/>
    </w:pPr>
    <w:rPr>
      <w:rFonts w:eastAsia="Calibri" w:cs="Times New Roman"/>
    </w:rPr>
  </w:style>
  <w:style w:type="paragraph" w:styleId="NormalWeb">
    <w:name w:val="Normal (Web)"/>
    <w:basedOn w:val="Normal"/>
    <w:uiPriority w:val="99"/>
    <w:unhideWhenUsed/>
    <w:rsid w:val="00FD7110"/>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D7110"/>
    <w:rPr>
      <w:b/>
      <w:bCs/>
    </w:rPr>
  </w:style>
  <w:style w:type="character" w:styleId="Accentuation">
    <w:name w:val="Emphasis"/>
    <w:basedOn w:val="Policepardfaut"/>
    <w:uiPriority w:val="20"/>
    <w:qFormat/>
    <w:rsid w:val="00E265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sv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695</Words>
  <Characters>3828</Characters>
  <Application>Microsoft Office Word</Application>
  <DocSecurity>0</DocSecurity>
  <Lines>31</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2021-11-29T08:11:00Z</dcterms:created>
  <dcterms:modified xsi:type="dcterms:W3CDTF">2023-12-15T06:54:00Z</dcterms:modified>
</cp:coreProperties>
</file>