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88679D" w:rsidRPr="0088679D" w14:paraId="012A3C9E" w14:textId="77777777" w:rsidTr="00CF2B7C">
        <w:trPr>
          <w:trHeight w:val="386"/>
        </w:trPr>
        <w:tc>
          <w:tcPr>
            <w:tcW w:w="9918" w:type="dxa"/>
            <w:gridSpan w:val="3"/>
            <w:shd w:val="clear" w:color="auto" w:fill="FFFF00"/>
          </w:tcPr>
          <w:p w14:paraId="1A246458" w14:textId="77777777" w:rsidR="0088679D" w:rsidRPr="0088679D" w:rsidRDefault="0088679D" w:rsidP="00CF2B7C">
            <w:pPr>
              <w:pStyle w:val="Titre3"/>
              <w:numPr>
                <w:ilvl w:val="0"/>
                <w:numId w:val="0"/>
              </w:numPr>
              <w:spacing w:before="120"/>
              <w:jc w:val="center"/>
              <w:rPr>
                <w:sz w:val="28"/>
              </w:rPr>
            </w:pPr>
            <w:r w:rsidRPr="0088679D">
              <w:rPr>
                <w:sz w:val="28"/>
              </w:rPr>
              <w:t>Réflexion 2 – Loi climat : ce que risque les entreprises</w:t>
            </w:r>
          </w:p>
        </w:tc>
      </w:tr>
      <w:tr w:rsidR="0088679D" w:rsidRPr="0088679D" w14:paraId="326C4971" w14:textId="77777777" w:rsidTr="00CF2B7C">
        <w:trPr>
          <w:trHeight w:val="267"/>
        </w:trPr>
        <w:tc>
          <w:tcPr>
            <w:tcW w:w="1413" w:type="dxa"/>
            <w:shd w:val="clear" w:color="auto" w:fill="FFFF00"/>
            <w:vAlign w:val="center"/>
          </w:tcPr>
          <w:p w14:paraId="4C643929" w14:textId="77777777" w:rsidR="0088679D" w:rsidRPr="0088679D" w:rsidRDefault="0088679D" w:rsidP="00CF2B7C">
            <w:pPr>
              <w:spacing w:after="0"/>
              <w:jc w:val="center"/>
              <w:rPr>
                <w:rFonts w:ascii="Arial" w:hAnsi="Arial" w:cs="Arial"/>
                <w:i/>
              </w:rPr>
            </w:pPr>
            <w:r w:rsidRPr="0088679D">
              <w:rPr>
                <w:rFonts w:ascii="Arial" w:hAnsi="Arial" w:cs="Arial"/>
                <w:b/>
              </w:rPr>
              <w:t>Durée</w:t>
            </w:r>
            <w:r w:rsidRPr="0088679D">
              <w:rPr>
                <w:rFonts w:ascii="Arial" w:hAnsi="Arial" w:cs="Arial"/>
              </w:rPr>
              <w:t xml:space="preserve"> : 15’</w:t>
            </w:r>
          </w:p>
        </w:tc>
        <w:tc>
          <w:tcPr>
            <w:tcW w:w="7229" w:type="dxa"/>
            <w:shd w:val="clear" w:color="auto" w:fill="FFFF00"/>
            <w:vAlign w:val="center"/>
          </w:tcPr>
          <w:p w14:paraId="3BF1C9D7" w14:textId="77777777" w:rsidR="0088679D" w:rsidRPr="0088679D" w:rsidRDefault="0088679D" w:rsidP="00CF2B7C">
            <w:pPr>
              <w:spacing w:after="0"/>
              <w:jc w:val="center"/>
              <w:rPr>
                <w:rFonts w:ascii="Arial" w:hAnsi="Arial" w:cs="Arial"/>
                <w:i/>
              </w:rPr>
            </w:pPr>
            <w:r w:rsidRPr="0088679D">
              <w:rPr>
                <w:rFonts w:ascii="Arial" w:hAnsi="Arial" w:cs="Arial"/>
                <w:i/>
                <w:noProof/>
              </w:rPr>
              <w:drawing>
                <wp:inline distT="0" distB="0" distL="0" distR="0" wp14:anchorId="5A521804" wp14:editId="1A70393B">
                  <wp:extent cx="325755" cy="325755"/>
                  <wp:effectExtent l="0" t="0" r="0" b="0"/>
                  <wp:docPr id="1731500141" name="Graphique 1731500141"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sidRPr="0088679D">
              <w:rPr>
                <w:rFonts w:ascii="Arial" w:hAnsi="Arial" w:cs="Arial"/>
                <w:iCs/>
              </w:rPr>
              <w:t>ou</w:t>
            </w:r>
            <w:r w:rsidRPr="0088679D">
              <w:rPr>
                <w:rFonts w:ascii="Arial" w:hAnsi="Arial" w:cs="Arial"/>
                <w:i/>
              </w:rPr>
              <w:t xml:space="preserve"> </w:t>
            </w:r>
            <w:r w:rsidRPr="0088679D">
              <w:rPr>
                <w:rFonts w:ascii="Arial" w:hAnsi="Arial" w:cs="Arial"/>
                <w:i/>
                <w:noProof/>
              </w:rPr>
              <w:drawing>
                <wp:inline distT="0" distB="0" distL="0" distR="0" wp14:anchorId="5E5055DD" wp14:editId="4AFAD96C">
                  <wp:extent cx="365760" cy="365760"/>
                  <wp:effectExtent l="0" t="0" r="0" b="0"/>
                  <wp:docPr id="813024151" name="Graphique 81302415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45D90A48" w14:textId="77777777" w:rsidR="0088679D" w:rsidRPr="0088679D" w:rsidRDefault="0088679D" w:rsidP="00CF2B7C">
            <w:pPr>
              <w:spacing w:after="0"/>
              <w:jc w:val="center"/>
              <w:rPr>
                <w:rFonts w:ascii="Arial" w:hAnsi="Arial" w:cs="Arial"/>
                <w:b/>
                <w:bCs/>
                <w:iCs/>
              </w:rPr>
            </w:pPr>
            <w:r w:rsidRPr="0088679D">
              <w:rPr>
                <w:rFonts w:ascii="Arial" w:hAnsi="Arial" w:cs="Arial"/>
                <w:b/>
                <w:bCs/>
                <w:iCs/>
              </w:rPr>
              <w:t>Source</w:t>
            </w:r>
          </w:p>
        </w:tc>
      </w:tr>
    </w:tbl>
    <w:p w14:paraId="7F4A535B" w14:textId="77777777" w:rsidR="0088679D" w:rsidRPr="0088679D" w:rsidRDefault="0088679D" w:rsidP="0088679D">
      <w:pPr>
        <w:spacing w:before="120" w:after="0" w:line="240" w:lineRule="auto"/>
        <w:jc w:val="both"/>
        <w:rPr>
          <w:rFonts w:ascii="Arial" w:eastAsia="Calibri" w:hAnsi="Arial" w:cs="Arial"/>
          <w:b/>
          <w:sz w:val="24"/>
        </w:rPr>
      </w:pPr>
      <w:r w:rsidRPr="0088679D">
        <w:rPr>
          <w:rFonts w:ascii="Arial" w:eastAsia="Calibri" w:hAnsi="Arial" w:cs="Arial"/>
          <w:b/>
          <w:sz w:val="24"/>
        </w:rPr>
        <w:t>Travail à faire</w:t>
      </w:r>
    </w:p>
    <w:p w14:paraId="616CCC0F" w14:textId="77777777" w:rsidR="0088679D" w:rsidRPr="0088679D" w:rsidRDefault="0088679D" w:rsidP="0088679D">
      <w:pPr>
        <w:spacing w:before="120" w:after="120"/>
        <w:rPr>
          <w:rFonts w:ascii="Arial" w:hAnsi="Arial" w:cs="Arial"/>
          <w:sz w:val="20"/>
          <w:szCs w:val="20"/>
        </w:rPr>
      </w:pPr>
      <w:r w:rsidRPr="0088679D">
        <w:rPr>
          <w:rFonts w:ascii="Arial" w:hAnsi="Arial" w:cs="Arial"/>
          <w:sz w:val="20"/>
          <w:szCs w:val="20"/>
        </w:rPr>
        <w:t xml:space="preserve">Après avoir lu le </w:t>
      </w:r>
      <w:r w:rsidRPr="0088679D">
        <w:rPr>
          <w:rFonts w:ascii="Arial" w:hAnsi="Arial" w:cs="Arial"/>
          <w:b/>
          <w:bCs/>
          <w:sz w:val="20"/>
          <w:szCs w:val="20"/>
        </w:rPr>
        <w:t>document</w:t>
      </w:r>
      <w:r w:rsidRPr="0088679D">
        <w:rPr>
          <w:rFonts w:ascii="Arial" w:hAnsi="Arial" w:cs="Arial"/>
          <w:sz w:val="20"/>
          <w:szCs w:val="20"/>
        </w:rPr>
        <w:t>, répondez aux questions suivantes :</w:t>
      </w:r>
    </w:p>
    <w:p w14:paraId="25DD3AFC" w14:textId="77777777" w:rsidR="0088679D" w:rsidRPr="0088679D" w:rsidRDefault="0088679D" w:rsidP="0088679D">
      <w:pPr>
        <w:pStyle w:val="Paragraphedeliste"/>
        <w:numPr>
          <w:ilvl w:val="0"/>
          <w:numId w:val="12"/>
        </w:numPr>
        <w:rPr>
          <w:rFonts w:cs="Arial"/>
          <w:sz w:val="20"/>
          <w:szCs w:val="20"/>
        </w:rPr>
      </w:pPr>
      <w:r w:rsidRPr="0088679D">
        <w:rPr>
          <w:rFonts w:cs="Arial"/>
          <w:sz w:val="20"/>
          <w:szCs w:val="20"/>
        </w:rPr>
        <w:t>Quels sont les 3 nouveaux délits introduit par l'article 280 de la loi climat ?</w:t>
      </w:r>
    </w:p>
    <w:p w14:paraId="332C9FBA" w14:textId="77777777" w:rsidR="0088679D" w:rsidRPr="0088679D" w:rsidRDefault="0088679D" w:rsidP="0088679D">
      <w:pPr>
        <w:pStyle w:val="Paragraphedeliste"/>
        <w:numPr>
          <w:ilvl w:val="0"/>
          <w:numId w:val="12"/>
        </w:numPr>
        <w:rPr>
          <w:rFonts w:cs="Arial"/>
          <w:sz w:val="20"/>
          <w:szCs w:val="20"/>
        </w:rPr>
      </w:pPr>
      <w:r w:rsidRPr="0088679D">
        <w:rPr>
          <w:rFonts w:cs="Arial"/>
          <w:sz w:val="20"/>
          <w:szCs w:val="20"/>
        </w:rPr>
        <w:t>Quel délit est introduit par l'article 279 ?</w:t>
      </w:r>
    </w:p>
    <w:p w14:paraId="51F875AA" w14:textId="77777777" w:rsidR="0088679D" w:rsidRPr="0088679D" w:rsidRDefault="0088679D" w:rsidP="0088679D">
      <w:pPr>
        <w:pStyle w:val="Paragraphedeliste"/>
        <w:numPr>
          <w:ilvl w:val="0"/>
          <w:numId w:val="12"/>
        </w:numPr>
        <w:rPr>
          <w:rFonts w:cs="Arial"/>
          <w:sz w:val="20"/>
          <w:szCs w:val="20"/>
        </w:rPr>
      </w:pPr>
      <w:r w:rsidRPr="0088679D">
        <w:rPr>
          <w:rFonts w:cs="Arial"/>
          <w:sz w:val="20"/>
          <w:szCs w:val="20"/>
        </w:rPr>
        <w:t>Quelles sont les peines encourues lorsqu'il y a un délit commis par une entreprise ?</w:t>
      </w:r>
    </w:p>
    <w:p w14:paraId="43C6E575" w14:textId="77777777" w:rsidR="0088679D" w:rsidRPr="0088679D" w:rsidRDefault="0088679D" w:rsidP="0088679D">
      <w:pPr>
        <w:rPr>
          <w:rFonts w:ascii="Arial" w:hAnsi="Arial" w:cs="Arial"/>
        </w:rPr>
      </w:pPr>
    </w:p>
    <w:p w14:paraId="405D8628" w14:textId="77777777" w:rsidR="0088679D" w:rsidRPr="0088679D" w:rsidRDefault="0088679D" w:rsidP="0088679D">
      <w:pPr>
        <w:spacing w:before="120" w:after="0" w:line="240" w:lineRule="auto"/>
        <w:jc w:val="both"/>
        <w:rPr>
          <w:rFonts w:ascii="Arial" w:eastAsia="Calibri" w:hAnsi="Arial" w:cs="Arial"/>
          <w:b/>
          <w:sz w:val="24"/>
        </w:rPr>
      </w:pPr>
      <w:r w:rsidRPr="0088679D">
        <w:rPr>
          <w:rFonts w:ascii="Arial" w:eastAsia="Calibri" w:hAnsi="Arial" w:cs="Arial"/>
          <w:b/>
          <w:color w:val="FFFFFF" w:themeColor="background1"/>
          <w:sz w:val="24"/>
          <w:highlight w:val="red"/>
        </w:rPr>
        <w:t xml:space="preserve">Doc. </w:t>
      </w:r>
      <w:r w:rsidRPr="0088679D">
        <w:rPr>
          <w:rFonts w:ascii="Arial" w:eastAsia="Calibri" w:hAnsi="Arial" w:cs="Arial"/>
          <w:b/>
          <w:color w:val="FFFFFF" w:themeColor="background1"/>
          <w:sz w:val="24"/>
        </w:rPr>
        <w:t xml:space="preserve"> </w:t>
      </w:r>
      <w:r w:rsidRPr="0088679D">
        <w:rPr>
          <w:rFonts w:ascii="Arial" w:eastAsia="Calibri" w:hAnsi="Arial" w:cs="Arial"/>
          <w:b/>
          <w:sz w:val="24"/>
        </w:rPr>
        <w:t>[Livre blanc] Loi Climat : ce que risquent les entreprises</w:t>
      </w:r>
    </w:p>
    <w:p w14:paraId="5EF07F66" w14:textId="77777777" w:rsidR="0088679D" w:rsidRPr="0088679D" w:rsidRDefault="0088679D" w:rsidP="0088679D">
      <w:pPr>
        <w:spacing w:before="120" w:after="120"/>
        <w:rPr>
          <w:rFonts w:ascii="Arial" w:hAnsi="Arial" w:cs="Arial"/>
          <w:i/>
          <w:iCs/>
          <w:color w:val="333333"/>
          <w:sz w:val="18"/>
          <w:szCs w:val="18"/>
        </w:rPr>
      </w:pPr>
      <w:r w:rsidRPr="0088679D">
        <w:rPr>
          <w:rFonts w:ascii="Arial" w:hAnsi="Arial" w:cs="Arial"/>
          <w:noProof/>
        </w:rPr>
        <w:drawing>
          <wp:anchor distT="0" distB="0" distL="114300" distR="114300" simplePos="0" relativeHeight="251659264" behindDoc="0" locked="0" layoutInCell="1" allowOverlap="1" wp14:anchorId="1473F1C8" wp14:editId="3F0F4E90">
            <wp:simplePos x="0" y="0"/>
            <wp:positionH relativeFrom="column">
              <wp:posOffset>4848352</wp:posOffset>
            </wp:positionH>
            <wp:positionV relativeFrom="paragraph">
              <wp:posOffset>272034</wp:posOffset>
            </wp:positionV>
            <wp:extent cx="1416050" cy="1116330"/>
            <wp:effectExtent l="0" t="0" r="0" b="7620"/>
            <wp:wrapSquare wrapText="bothSides"/>
            <wp:docPr id="1463888646" name="Image 15"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88646" name="Image 15" descr="Une image contenant texte, Police, Graphique, capture d’écran&#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050" cy="1116330"/>
                    </a:xfrm>
                    <a:prstGeom prst="rect">
                      <a:avLst/>
                    </a:prstGeom>
                  </pic:spPr>
                </pic:pic>
              </a:graphicData>
            </a:graphic>
            <wp14:sizeRelH relativeFrom="margin">
              <wp14:pctWidth>0</wp14:pctWidth>
            </wp14:sizeRelH>
            <wp14:sizeRelV relativeFrom="margin">
              <wp14:pctHeight>0</wp14:pctHeight>
            </wp14:sizeRelV>
          </wp:anchor>
        </w:drawing>
      </w:r>
      <w:r w:rsidRPr="0088679D">
        <w:rPr>
          <w:rFonts w:ascii="Arial" w:hAnsi="Arial" w:cs="Arial"/>
          <w:i/>
          <w:iCs/>
          <w:color w:val="333333"/>
          <w:sz w:val="18"/>
          <w:szCs w:val="18"/>
        </w:rPr>
        <w:t xml:space="preserve">Rédaction Matthieu Barry, publié le 29/11/2021 </w:t>
      </w:r>
    </w:p>
    <w:p w14:paraId="4B546836" w14:textId="77777777" w:rsidR="0088679D" w:rsidRPr="0088679D" w:rsidRDefault="0088679D" w:rsidP="0088679D">
      <w:pPr>
        <w:spacing w:after="120"/>
        <w:jc w:val="both"/>
        <w:rPr>
          <w:rFonts w:ascii="Arial" w:hAnsi="Arial" w:cs="Arial"/>
          <w:b/>
          <w:bCs/>
          <w:color w:val="333333"/>
          <w:sz w:val="20"/>
          <w:szCs w:val="18"/>
        </w:rPr>
      </w:pPr>
      <w:r w:rsidRPr="0088679D">
        <w:rPr>
          <w:rFonts w:ascii="Arial" w:hAnsi="Arial" w:cs="Arial"/>
          <w:b/>
          <w:bCs/>
          <w:color w:val="333333"/>
          <w:sz w:val="20"/>
          <w:szCs w:val="18"/>
        </w:rPr>
        <w:t>La loi Climat promulguée le 24 août au JO renforce le droit pénal de l’environnement en créant un délit général de pollution des milieux et d’écocide. Plusieurs sanctions et amendes sont prévues en cas de non-respect par les entreprises. </w:t>
      </w:r>
    </w:p>
    <w:p w14:paraId="002EB8A3"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L’article 280 de la loi Climat crée trois nouveaux délits, l’un concernant la pollution des milieux physiques et biologiques, le deuxième l’abandon de déchets et enfin l’écocide qui est la forme intentionnelle des deux premiers. L’article 279 crée quant à lui un délit de risque d’atteinte de l’environnement. Voici les sanctions et amendes applicables.</w:t>
      </w:r>
    </w:p>
    <w:p w14:paraId="1B6DF09A" w14:textId="77777777" w:rsidR="0088679D" w:rsidRPr="0088679D" w:rsidRDefault="0088679D" w:rsidP="0088679D">
      <w:pPr>
        <w:spacing w:after="120"/>
        <w:jc w:val="both"/>
        <w:rPr>
          <w:rFonts w:ascii="Arial" w:hAnsi="Arial" w:cs="Arial"/>
          <w:sz w:val="20"/>
          <w:szCs w:val="18"/>
        </w:rPr>
      </w:pPr>
      <w:r w:rsidRPr="0088679D">
        <w:rPr>
          <w:rFonts w:ascii="Arial" w:hAnsi="Arial" w:cs="Arial"/>
          <w:sz w:val="20"/>
          <w:szCs w:val="18"/>
        </w:rPr>
        <w:t>Cet article est extrait de notre livre blanc « TPE/PME : les impacts de la loi Climat sur votre activité ».</w:t>
      </w:r>
    </w:p>
    <w:p w14:paraId="63B3FDF0" w14:textId="77777777" w:rsidR="0088679D" w:rsidRPr="0088679D" w:rsidRDefault="0088679D" w:rsidP="0088679D">
      <w:pPr>
        <w:spacing w:after="120"/>
        <w:jc w:val="both"/>
        <w:rPr>
          <w:rFonts w:ascii="Arial" w:hAnsi="Arial" w:cs="Arial"/>
          <w:sz w:val="20"/>
          <w:szCs w:val="20"/>
        </w:rPr>
      </w:pPr>
      <w:r w:rsidRPr="0088679D">
        <w:rPr>
          <w:rFonts w:ascii="Arial" w:hAnsi="Arial" w:cs="Arial"/>
          <w:b/>
          <w:bCs/>
          <w:sz w:val="20"/>
          <w:szCs w:val="20"/>
        </w:rPr>
        <w:t>Délit général de pollution des milieux</w:t>
      </w:r>
    </w:p>
    <w:p w14:paraId="0B21DF0B"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La loi Climat punit désormais de 5 ans d’emprisonnement et 1 M€ d’amende le fait de rejeter dans l’air ou dans les eaux, directement ou indirectement, une ou des substances dont l’action ou les réactions entraînent des effets nuisibles graves et durables sur la santé, la flore, la faune.</w:t>
      </w:r>
    </w:p>
    <w:p w14:paraId="2D767054"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Pour être considérés comme durables, les effets nuisibles devront être susceptibles de durer au moins 7 ans.</w:t>
      </w:r>
    </w:p>
    <w:p w14:paraId="33C01D5C" w14:textId="77777777" w:rsidR="0088679D" w:rsidRPr="0088679D" w:rsidRDefault="0088679D" w:rsidP="0088679D">
      <w:pPr>
        <w:spacing w:after="120"/>
        <w:jc w:val="both"/>
        <w:rPr>
          <w:rFonts w:ascii="Arial" w:hAnsi="Arial" w:cs="Arial"/>
          <w:b/>
          <w:bCs/>
        </w:rPr>
      </w:pPr>
      <w:r w:rsidRPr="0088679D">
        <w:rPr>
          <w:rFonts w:ascii="Arial" w:hAnsi="Arial" w:cs="Arial"/>
          <w:b/>
          <w:bCs/>
        </w:rPr>
        <w:t>Délits de mise en danger de l’environnement</w:t>
      </w:r>
    </w:p>
    <w:p w14:paraId="6C3319E7"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La Loi Climat crée un délit de mise en danger de l’environnement en cas de non-respect des prescriptions relatives aux installations classées, à la gestion des déchets et au transport de matières dangereuses. Ce délit est sanctionné de 3 ans d’emprisonnement et, 250 000 € d’amende.</w:t>
      </w:r>
    </w:p>
    <w:p w14:paraId="7F7597B1"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Contrairement au délit général de pollution, les sanctions pourront s’appliquer si le comportement est dangereux et que la pollution n’a pas eu lieu.</w:t>
      </w:r>
    </w:p>
    <w:p w14:paraId="5D496D57" w14:textId="77777777" w:rsidR="0088679D" w:rsidRPr="0088679D" w:rsidRDefault="0088679D" w:rsidP="0088679D">
      <w:pPr>
        <w:spacing w:after="120"/>
        <w:jc w:val="both"/>
        <w:rPr>
          <w:rFonts w:ascii="Arial" w:hAnsi="Arial" w:cs="Arial"/>
          <w:b/>
          <w:bCs/>
        </w:rPr>
      </w:pPr>
      <w:r w:rsidRPr="0088679D">
        <w:rPr>
          <w:rFonts w:ascii="Arial" w:hAnsi="Arial" w:cs="Arial"/>
          <w:b/>
          <w:bCs/>
        </w:rPr>
        <w:t>Délit d’abandon de déchets</w:t>
      </w:r>
    </w:p>
    <w:p w14:paraId="64F48F2D"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Autre nouveauté : le fait d’abandonner, de déposer ou de gérer des déchets, sans satisfaire aux prescriptions concernant leur prise en charge, lorsqu’ils provoquent une dégradation substantielle de la faune et de la flore ou de la qualité de l’air, du sol ou de l’eau est puni de 3 ans d’emprisonnement et de 150 000 € d’amende.</w:t>
      </w:r>
    </w:p>
    <w:p w14:paraId="152592C2" w14:textId="77777777" w:rsidR="0088679D" w:rsidRPr="0088679D" w:rsidRDefault="0088679D" w:rsidP="0088679D">
      <w:pPr>
        <w:spacing w:after="120"/>
        <w:jc w:val="both"/>
        <w:rPr>
          <w:rFonts w:ascii="Arial" w:hAnsi="Arial" w:cs="Arial"/>
          <w:b/>
          <w:bCs/>
        </w:rPr>
      </w:pPr>
      <w:r w:rsidRPr="0088679D">
        <w:rPr>
          <w:rFonts w:ascii="Arial" w:hAnsi="Arial" w:cs="Arial"/>
          <w:b/>
          <w:bCs/>
        </w:rPr>
        <w:t>Délit d’écocide</w:t>
      </w:r>
    </w:p>
    <w:p w14:paraId="5D7BD50C" w14:textId="77777777" w:rsidR="0088679D" w:rsidRPr="0088679D" w:rsidRDefault="0088679D" w:rsidP="0088679D">
      <w:pPr>
        <w:spacing w:after="120"/>
        <w:jc w:val="both"/>
        <w:rPr>
          <w:rFonts w:ascii="Arial" w:hAnsi="Arial" w:cs="Arial"/>
          <w:color w:val="333333"/>
          <w:sz w:val="20"/>
          <w:szCs w:val="18"/>
        </w:rPr>
      </w:pPr>
      <w:r w:rsidRPr="0088679D">
        <w:rPr>
          <w:rFonts w:ascii="Arial" w:hAnsi="Arial" w:cs="Arial"/>
          <w:color w:val="333333"/>
          <w:sz w:val="20"/>
          <w:szCs w:val="18"/>
        </w:rPr>
        <w:t>Enfin, le fameux écocide constitue, non pas un délit, mais une circonstance aggravante des délits environnementaux lorsque les faits sont commis de manière intentionnelle. Il est passible de 10 ans d’emprisonnement et jusqu’à 4,5 M€ d’amende.</w:t>
      </w:r>
    </w:p>
    <w:p w14:paraId="72A90C84" w14:textId="77777777" w:rsidR="0088679D" w:rsidRPr="0088679D" w:rsidRDefault="0088679D" w:rsidP="0088679D">
      <w:pPr>
        <w:spacing w:after="120"/>
        <w:rPr>
          <w:rFonts w:ascii="Arial" w:hAnsi="Arial" w:cs="Arial"/>
          <w:i/>
          <w:iCs/>
          <w:szCs w:val="20"/>
        </w:rPr>
      </w:pPr>
    </w:p>
    <w:p w14:paraId="04A40560" w14:textId="236EECAC" w:rsidR="0088679D" w:rsidRPr="0088679D" w:rsidRDefault="0088679D" w:rsidP="0088679D">
      <w:pPr>
        <w:spacing w:before="120" w:after="120" w:line="240" w:lineRule="auto"/>
        <w:jc w:val="both"/>
        <w:rPr>
          <w:rFonts w:ascii="Arial" w:eastAsia="Calibri" w:hAnsi="Arial" w:cs="Arial"/>
          <w:b/>
          <w:sz w:val="24"/>
        </w:rPr>
      </w:pPr>
      <w:r>
        <w:rPr>
          <w:rFonts w:ascii="Arial" w:eastAsia="Calibri" w:hAnsi="Arial" w:cs="Arial"/>
          <w:b/>
          <w:sz w:val="24"/>
        </w:rPr>
        <w:t>Réponses</w:t>
      </w:r>
    </w:p>
    <w:p w14:paraId="38E1E005" w14:textId="77777777" w:rsidR="0088679D" w:rsidRDefault="0088679D" w:rsidP="0088679D">
      <w:pPr>
        <w:pStyle w:val="Paragraphedeliste"/>
        <w:numPr>
          <w:ilvl w:val="0"/>
          <w:numId w:val="13"/>
        </w:numPr>
        <w:rPr>
          <w:rFonts w:cs="Arial"/>
          <w:sz w:val="20"/>
          <w:szCs w:val="20"/>
        </w:rPr>
      </w:pPr>
      <w:r w:rsidRPr="0088679D">
        <w:rPr>
          <w:rFonts w:cs="Arial"/>
          <w:sz w:val="20"/>
          <w:szCs w:val="20"/>
        </w:rPr>
        <w:t>Quels sont les 3 nouveaux délits introduit par l'article 280 de la loi climat ?</w:t>
      </w:r>
    </w:p>
    <w:p w14:paraId="7C6302C6" w14:textId="77777777" w:rsidR="0088679D" w:rsidRDefault="0088679D" w:rsidP="0088679D">
      <w:pPr>
        <w:rPr>
          <w:rFonts w:cs="Arial"/>
          <w:sz w:val="20"/>
          <w:szCs w:val="20"/>
        </w:rPr>
      </w:pPr>
    </w:p>
    <w:p w14:paraId="00E34F40" w14:textId="77777777" w:rsidR="0088679D" w:rsidRDefault="0088679D" w:rsidP="0088679D">
      <w:pPr>
        <w:rPr>
          <w:rFonts w:cs="Arial"/>
          <w:sz w:val="20"/>
          <w:szCs w:val="20"/>
        </w:rPr>
      </w:pPr>
    </w:p>
    <w:p w14:paraId="382BC1AC" w14:textId="77777777" w:rsidR="0088679D" w:rsidRPr="0088679D" w:rsidRDefault="0088679D" w:rsidP="0088679D">
      <w:pPr>
        <w:rPr>
          <w:rFonts w:cs="Arial"/>
          <w:sz w:val="20"/>
          <w:szCs w:val="20"/>
        </w:rPr>
      </w:pPr>
    </w:p>
    <w:p w14:paraId="4C5BE247" w14:textId="77777777" w:rsidR="0088679D" w:rsidRDefault="0088679D" w:rsidP="0088679D">
      <w:pPr>
        <w:pStyle w:val="Paragraphedeliste"/>
        <w:numPr>
          <w:ilvl w:val="0"/>
          <w:numId w:val="13"/>
        </w:numPr>
        <w:rPr>
          <w:rFonts w:cs="Arial"/>
          <w:sz w:val="20"/>
          <w:szCs w:val="20"/>
        </w:rPr>
      </w:pPr>
      <w:r w:rsidRPr="0088679D">
        <w:rPr>
          <w:rFonts w:cs="Arial"/>
          <w:sz w:val="20"/>
          <w:szCs w:val="20"/>
        </w:rPr>
        <w:t>Quel délit est introduit par l'article 279 ?</w:t>
      </w:r>
    </w:p>
    <w:p w14:paraId="1A0542F2" w14:textId="77777777" w:rsidR="0088679D" w:rsidRDefault="0088679D" w:rsidP="0088679D">
      <w:pPr>
        <w:rPr>
          <w:rFonts w:cs="Arial"/>
          <w:sz w:val="20"/>
          <w:szCs w:val="20"/>
        </w:rPr>
      </w:pPr>
    </w:p>
    <w:p w14:paraId="4B0984CF" w14:textId="77777777" w:rsidR="0088679D" w:rsidRPr="0088679D" w:rsidRDefault="0088679D" w:rsidP="0088679D">
      <w:pPr>
        <w:rPr>
          <w:rFonts w:cs="Arial"/>
          <w:sz w:val="20"/>
          <w:szCs w:val="20"/>
        </w:rPr>
      </w:pPr>
    </w:p>
    <w:p w14:paraId="7C049C0D" w14:textId="77777777" w:rsidR="0088679D" w:rsidRPr="0088679D" w:rsidRDefault="0088679D" w:rsidP="0088679D">
      <w:pPr>
        <w:pStyle w:val="Paragraphedeliste"/>
        <w:numPr>
          <w:ilvl w:val="0"/>
          <w:numId w:val="13"/>
        </w:numPr>
        <w:rPr>
          <w:rFonts w:cs="Arial"/>
          <w:sz w:val="20"/>
          <w:szCs w:val="20"/>
        </w:rPr>
      </w:pPr>
      <w:r w:rsidRPr="0088679D">
        <w:rPr>
          <w:rFonts w:cs="Arial"/>
          <w:sz w:val="20"/>
          <w:szCs w:val="20"/>
        </w:rPr>
        <w:t>Quelles sont les peines encourues lorsqu'il y a un délit commis par une entreprise ?</w:t>
      </w:r>
    </w:p>
    <w:p w14:paraId="54EB62D4" w14:textId="77777777" w:rsidR="005E0A42" w:rsidRPr="0088679D" w:rsidRDefault="005E0A42" w:rsidP="0088679D">
      <w:pPr>
        <w:rPr>
          <w:rFonts w:ascii="Arial" w:hAnsi="Arial" w:cs="Arial"/>
        </w:rPr>
      </w:pPr>
    </w:p>
    <w:sectPr w:rsidR="005E0A42" w:rsidRPr="0088679D" w:rsidSect="005E0A42">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019"/>
    <w:multiLevelType w:val="hybridMultilevel"/>
    <w:tmpl w:val="47782A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7EB639B"/>
    <w:multiLevelType w:val="hybridMultilevel"/>
    <w:tmpl w:val="082824B8"/>
    <w:lvl w:ilvl="0" w:tplc="2C841492">
      <w:start w:val="5"/>
      <w:numFmt w:val="bullet"/>
      <w:lvlText w:val="-"/>
      <w:lvlJc w:val="left"/>
      <w:pPr>
        <w:ind w:left="360" w:hanging="360"/>
      </w:pPr>
      <w:rPr>
        <w:rFonts w:ascii="Cambria" w:eastAsia="Times New Roman" w:hAnsi="Cambri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4E7DBE"/>
    <w:multiLevelType w:val="multilevel"/>
    <w:tmpl w:val="85CEBDCC"/>
    <w:lvl w:ilvl="0">
      <w:start w:val="1"/>
      <w:numFmt w:val="decimal"/>
      <w:lvlText w:val="%1."/>
      <w:lvlJc w:val="left"/>
      <w:pPr>
        <w:ind w:left="720" w:hanging="360"/>
      </w:pPr>
      <w:rPr>
        <w:rFonts w:hint="default"/>
      </w:rPr>
    </w:lvl>
    <w:lvl w:ilvl="1">
      <w:start w:val="1"/>
      <w:numFmt w:val="decimal"/>
      <w:pStyle w:val="Titre2"/>
      <w:isLgl/>
      <w:lvlText w:val="%1.%2."/>
      <w:lvlJc w:val="left"/>
      <w:pPr>
        <w:ind w:left="862"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5A72025"/>
    <w:multiLevelType w:val="hybridMultilevel"/>
    <w:tmpl w:val="C930CD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9E303B5"/>
    <w:multiLevelType w:val="multilevel"/>
    <w:tmpl w:val="34CA93C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DE060A3"/>
    <w:multiLevelType w:val="hybridMultilevel"/>
    <w:tmpl w:val="191464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83822D5"/>
    <w:multiLevelType w:val="hybridMultilevel"/>
    <w:tmpl w:val="28826CAC"/>
    <w:lvl w:ilvl="0" w:tplc="146A64A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99A2FC9"/>
    <w:multiLevelType w:val="hybridMultilevel"/>
    <w:tmpl w:val="A25A059A"/>
    <w:lvl w:ilvl="0" w:tplc="6396F768">
      <w:start w:val="1"/>
      <w:numFmt w:val="bullet"/>
      <w:pStyle w:val="Titre3"/>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67E5767A"/>
    <w:multiLevelType w:val="hybridMultilevel"/>
    <w:tmpl w:val="D048FE56"/>
    <w:lvl w:ilvl="0" w:tplc="FF68C2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2659C3"/>
    <w:multiLevelType w:val="hybridMultilevel"/>
    <w:tmpl w:val="936E4F0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71C97776"/>
    <w:multiLevelType w:val="hybridMultilevel"/>
    <w:tmpl w:val="828258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6C25D1"/>
    <w:multiLevelType w:val="hybridMultilevel"/>
    <w:tmpl w:val="EFC05AC2"/>
    <w:lvl w:ilvl="0" w:tplc="100C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29810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210934">
    <w:abstractNumId w:val="0"/>
  </w:num>
  <w:num w:numId="3" w16cid:durableId="518397094">
    <w:abstractNumId w:val="3"/>
  </w:num>
  <w:num w:numId="4" w16cid:durableId="2038041344">
    <w:abstractNumId w:val="0"/>
  </w:num>
  <w:num w:numId="5" w16cid:durableId="770396647">
    <w:abstractNumId w:val="10"/>
  </w:num>
  <w:num w:numId="6" w16cid:durableId="224726358">
    <w:abstractNumId w:val="8"/>
  </w:num>
  <w:num w:numId="7" w16cid:durableId="370764759">
    <w:abstractNumId w:val="7"/>
  </w:num>
  <w:num w:numId="8" w16cid:durableId="1433548029">
    <w:abstractNumId w:val="2"/>
  </w:num>
  <w:num w:numId="9" w16cid:durableId="809791198">
    <w:abstractNumId w:val="1"/>
  </w:num>
  <w:num w:numId="10" w16cid:durableId="1146967334">
    <w:abstractNumId w:val="11"/>
  </w:num>
  <w:num w:numId="11" w16cid:durableId="98794129">
    <w:abstractNumId w:val="4"/>
  </w:num>
  <w:num w:numId="12" w16cid:durableId="132448659">
    <w:abstractNumId w:val="6"/>
  </w:num>
  <w:num w:numId="13" w16cid:durableId="1644002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61"/>
    <w:rsid w:val="000445F4"/>
    <w:rsid w:val="001F79F4"/>
    <w:rsid w:val="005E0A42"/>
    <w:rsid w:val="00606CCC"/>
    <w:rsid w:val="0067667F"/>
    <w:rsid w:val="00796A78"/>
    <w:rsid w:val="0088679D"/>
    <w:rsid w:val="00997465"/>
    <w:rsid w:val="009B5E61"/>
    <w:rsid w:val="00B15BBE"/>
    <w:rsid w:val="00FE0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8BFB"/>
  <w15:chartTrackingRefBased/>
  <w15:docId w15:val="{7507908E-E96C-4493-BD32-419A20A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61"/>
  </w:style>
  <w:style w:type="paragraph" w:styleId="Titre2">
    <w:name w:val="heading 2"/>
    <w:basedOn w:val="Normal"/>
    <w:link w:val="Titre2Car"/>
    <w:uiPriority w:val="9"/>
    <w:unhideWhenUsed/>
    <w:qFormat/>
    <w:rsid w:val="005E0A42"/>
    <w:pPr>
      <w:numPr>
        <w:ilvl w:val="1"/>
        <w:numId w:val="8"/>
      </w:numPr>
      <w:spacing w:after="120" w:line="240" w:lineRule="auto"/>
      <w:jc w:val="both"/>
      <w:outlineLvl w:val="1"/>
    </w:pPr>
    <w:rPr>
      <w:rFonts w:ascii="Arial Black" w:eastAsia="Calibri" w:hAnsi="Arial Black" w:cs="Arial"/>
      <w:b/>
      <w:color w:val="000000"/>
      <w:sz w:val="24"/>
      <w:szCs w:val="20"/>
      <w:lang w:eastAsia="fr-FR"/>
    </w:rPr>
  </w:style>
  <w:style w:type="paragraph" w:styleId="Titre3">
    <w:name w:val="heading 3"/>
    <w:basedOn w:val="Paragraphedeliste"/>
    <w:next w:val="Normal"/>
    <w:link w:val="Titre3Car"/>
    <w:uiPriority w:val="9"/>
    <w:unhideWhenUsed/>
    <w:qFormat/>
    <w:rsid w:val="005E0A42"/>
    <w:pPr>
      <w:numPr>
        <w:numId w:val="7"/>
      </w:num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E61"/>
    <w:pPr>
      <w:spacing w:after="0" w:line="240" w:lineRule="auto"/>
      <w:ind w:left="720"/>
      <w:contextualSpacing/>
      <w:jc w:val="both"/>
    </w:pPr>
    <w:rPr>
      <w:rFonts w:ascii="Arial" w:eastAsia="Calibri" w:hAnsi="Arial" w:cs="Times New Roman"/>
    </w:rPr>
  </w:style>
  <w:style w:type="paragraph" w:styleId="Commentaire">
    <w:name w:val="annotation text"/>
    <w:basedOn w:val="Normal"/>
    <w:link w:val="CommentaireCar"/>
    <w:uiPriority w:val="99"/>
    <w:semiHidden/>
    <w:unhideWhenUsed/>
    <w:rsid w:val="009B5E61"/>
    <w:pPr>
      <w:spacing w:after="0" w:line="240" w:lineRule="auto"/>
      <w:jc w:val="both"/>
    </w:pPr>
    <w:rPr>
      <w:rFonts w:ascii="Arial" w:eastAsia="Calibri" w:hAnsi="Arial" w:cs="Times New Roman"/>
      <w:sz w:val="20"/>
      <w:szCs w:val="20"/>
    </w:rPr>
  </w:style>
  <w:style w:type="character" w:customStyle="1" w:styleId="CommentaireCar">
    <w:name w:val="Commentaire Car"/>
    <w:basedOn w:val="Policepardfaut"/>
    <w:link w:val="Commentaire"/>
    <w:uiPriority w:val="99"/>
    <w:semiHidden/>
    <w:rsid w:val="009B5E61"/>
    <w:rPr>
      <w:rFonts w:ascii="Arial" w:eastAsia="Calibri" w:hAnsi="Arial" w:cs="Times New Roman"/>
      <w:sz w:val="20"/>
      <w:szCs w:val="20"/>
    </w:rPr>
  </w:style>
  <w:style w:type="character" w:styleId="Marquedecommentaire">
    <w:name w:val="annotation reference"/>
    <w:basedOn w:val="Policepardfaut"/>
    <w:uiPriority w:val="99"/>
    <w:semiHidden/>
    <w:unhideWhenUsed/>
    <w:rsid w:val="009B5E61"/>
    <w:rPr>
      <w:sz w:val="16"/>
      <w:szCs w:val="16"/>
    </w:rPr>
  </w:style>
  <w:style w:type="table" w:styleId="Grilledutableau">
    <w:name w:val="Table Grid"/>
    <w:basedOn w:val="TableauNormal"/>
    <w:uiPriority w:val="59"/>
    <w:rsid w:val="009B5E6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06C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CCC"/>
    <w:rPr>
      <w:rFonts w:ascii="Segoe UI" w:hAnsi="Segoe UI" w:cs="Segoe UI"/>
      <w:sz w:val="18"/>
      <w:szCs w:val="18"/>
    </w:rPr>
  </w:style>
  <w:style w:type="character" w:customStyle="1" w:styleId="Titre2Car">
    <w:name w:val="Titre 2 Car"/>
    <w:basedOn w:val="Policepardfaut"/>
    <w:link w:val="Titre2"/>
    <w:uiPriority w:val="9"/>
    <w:rsid w:val="005E0A42"/>
    <w:rPr>
      <w:rFonts w:ascii="Arial Black" w:eastAsia="Calibri" w:hAnsi="Arial Black" w:cs="Arial"/>
      <w:b/>
      <w:color w:val="000000"/>
      <w:sz w:val="24"/>
      <w:szCs w:val="20"/>
      <w:lang w:eastAsia="fr-FR"/>
    </w:rPr>
  </w:style>
  <w:style w:type="character" w:customStyle="1" w:styleId="Titre3Car">
    <w:name w:val="Titre 3 Car"/>
    <w:basedOn w:val="Policepardfaut"/>
    <w:link w:val="Titre3"/>
    <w:uiPriority w:val="9"/>
    <w:rsid w:val="005E0A42"/>
    <w:rPr>
      <w:rFonts w:ascii="Arial" w:eastAsia="Times New Roman" w:hAnsi="Arial" w:cs="Arial"/>
      <w:b/>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452</Words>
  <Characters>2492</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2015-12-23T14:47:00Z</dcterms:created>
  <dcterms:modified xsi:type="dcterms:W3CDTF">2023-12-14T22:10:00Z</dcterms:modified>
</cp:coreProperties>
</file>