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D3461B" w:rsidRPr="009067DA" w14:paraId="1D8512B1" w14:textId="77777777" w:rsidTr="00E91F8A">
        <w:trPr>
          <w:trHeight w:val="386"/>
        </w:trPr>
        <w:tc>
          <w:tcPr>
            <w:tcW w:w="9918" w:type="dxa"/>
            <w:gridSpan w:val="3"/>
            <w:shd w:val="clear" w:color="auto" w:fill="FFFF00"/>
          </w:tcPr>
          <w:p w14:paraId="65523340" w14:textId="77777777" w:rsidR="00D3461B" w:rsidRPr="009067DA" w:rsidRDefault="00D3461B" w:rsidP="00E91F8A">
            <w:pPr>
              <w:pStyle w:val="Titre3"/>
              <w:numPr>
                <w:ilvl w:val="0"/>
                <w:numId w:val="0"/>
              </w:numPr>
              <w:spacing w:before="120"/>
              <w:jc w:val="center"/>
              <w:rPr>
                <w:sz w:val="28"/>
              </w:rPr>
            </w:pPr>
            <w:r>
              <w:rPr>
                <w:sz w:val="28"/>
              </w:rPr>
              <w:t>R</w:t>
            </w:r>
            <w:r w:rsidRPr="009067DA">
              <w:rPr>
                <w:sz w:val="28"/>
              </w:rPr>
              <w:t xml:space="preserve">éflexion </w:t>
            </w:r>
            <w:r>
              <w:rPr>
                <w:sz w:val="28"/>
              </w:rPr>
              <w:t>5 –</w:t>
            </w:r>
            <w:r w:rsidRPr="009067DA">
              <w:rPr>
                <w:sz w:val="28"/>
              </w:rPr>
              <w:t xml:space="preserve"> </w:t>
            </w:r>
            <w:r>
              <w:rPr>
                <w:sz w:val="28"/>
              </w:rPr>
              <w:t>Protéger ses innovations</w:t>
            </w:r>
          </w:p>
        </w:tc>
      </w:tr>
      <w:tr w:rsidR="00D3461B" w:rsidRPr="00173A63" w14:paraId="211EC279" w14:textId="77777777" w:rsidTr="00E91F8A">
        <w:trPr>
          <w:trHeight w:val="267"/>
        </w:trPr>
        <w:tc>
          <w:tcPr>
            <w:tcW w:w="1413" w:type="dxa"/>
            <w:shd w:val="clear" w:color="auto" w:fill="FFFF00"/>
            <w:vAlign w:val="center"/>
          </w:tcPr>
          <w:p w14:paraId="152ACE1F" w14:textId="77777777" w:rsidR="00D3461B" w:rsidRPr="00173A63" w:rsidRDefault="00D3461B" w:rsidP="00E91F8A">
            <w:pPr>
              <w:jc w:val="center"/>
              <w:rPr>
                <w:i/>
              </w:rPr>
            </w:pPr>
            <w:r w:rsidRPr="00FF0A24">
              <w:rPr>
                <w:b/>
              </w:rPr>
              <w:t>Durée</w:t>
            </w:r>
            <w:r>
              <w:t xml:space="preserve"> : 15’</w:t>
            </w:r>
          </w:p>
        </w:tc>
        <w:tc>
          <w:tcPr>
            <w:tcW w:w="7229" w:type="dxa"/>
            <w:shd w:val="clear" w:color="auto" w:fill="FFFF00"/>
            <w:vAlign w:val="center"/>
          </w:tcPr>
          <w:p w14:paraId="2632291F" w14:textId="554F2C8B" w:rsidR="00D3461B" w:rsidRPr="00173A63" w:rsidRDefault="001E7A59" w:rsidP="00E91F8A">
            <w:pPr>
              <w:jc w:val="center"/>
              <w:rPr>
                <w:i/>
              </w:rPr>
            </w:pPr>
            <w:r>
              <w:rPr>
                <w:i/>
                <w:noProof/>
              </w:rPr>
              <w:drawing>
                <wp:inline distT="0" distB="0" distL="0" distR="0" wp14:anchorId="41A03214" wp14:editId="281C0095">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39ADF22C" wp14:editId="0F19DAAC">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760" cy="365760"/>
                          </a:xfrm>
                          <a:prstGeom prst="rect">
                            <a:avLst/>
                          </a:prstGeom>
                        </pic:spPr>
                      </pic:pic>
                    </a:graphicData>
                  </a:graphic>
                </wp:inline>
              </w:drawing>
            </w:r>
          </w:p>
        </w:tc>
        <w:tc>
          <w:tcPr>
            <w:tcW w:w="1276" w:type="dxa"/>
            <w:shd w:val="clear" w:color="auto" w:fill="FFFF00"/>
            <w:vAlign w:val="center"/>
          </w:tcPr>
          <w:p w14:paraId="6D604407" w14:textId="77777777" w:rsidR="00D3461B" w:rsidRPr="006D456D" w:rsidRDefault="00D3461B" w:rsidP="00E91F8A">
            <w:pPr>
              <w:jc w:val="center"/>
              <w:rPr>
                <w:b/>
                <w:bCs/>
                <w:iCs/>
              </w:rPr>
            </w:pPr>
            <w:r w:rsidRPr="006D456D">
              <w:rPr>
                <w:b/>
                <w:bCs/>
                <w:iCs/>
              </w:rPr>
              <w:t>Source</w:t>
            </w:r>
          </w:p>
        </w:tc>
      </w:tr>
    </w:tbl>
    <w:p w14:paraId="34174E3C" w14:textId="77777777" w:rsidR="00D3461B" w:rsidRPr="002B324C" w:rsidRDefault="00D3461B" w:rsidP="00D3461B">
      <w:pPr>
        <w:spacing w:before="120" w:after="120"/>
        <w:rPr>
          <w:rFonts w:cs="Arial"/>
          <w:b/>
          <w:sz w:val="24"/>
          <w:szCs w:val="32"/>
        </w:rPr>
      </w:pPr>
      <w:r w:rsidRPr="002B324C">
        <w:rPr>
          <w:rFonts w:cs="Arial"/>
          <w:b/>
          <w:sz w:val="24"/>
          <w:szCs w:val="32"/>
        </w:rPr>
        <w:t>Travail à faire</w:t>
      </w:r>
    </w:p>
    <w:p w14:paraId="7D212910" w14:textId="77777777" w:rsidR="00D3461B" w:rsidRPr="002E4E28" w:rsidRDefault="00D3461B" w:rsidP="00D3461B">
      <w:pPr>
        <w:spacing w:before="120" w:after="120"/>
        <w:rPr>
          <w:bCs/>
        </w:rPr>
      </w:pPr>
      <w:r w:rsidRPr="002E4E28">
        <w:rPr>
          <w:bCs/>
        </w:rPr>
        <w:t xml:space="preserve">Après avoir lu les </w:t>
      </w:r>
      <w:r w:rsidRPr="006027BA">
        <w:rPr>
          <w:b/>
        </w:rPr>
        <w:t>documents 1</w:t>
      </w:r>
      <w:r w:rsidRPr="002E4E28">
        <w:rPr>
          <w:bCs/>
        </w:rPr>
        <w:t xml:space="preserve"> et </w:t>
      </w:r>
      <w:r w:rsidRPr="006027BA">
        <w:rPr>
          <w:b/>
        </w:rPr>
        <w:t>2</w:t>
      </w:r>
      <w:r w:rsidRPr="002E4E28">
        <w:rPr>
          <w:bCs/>
        </w:rPr>
        <w:t xml:space="preserve"> répondez aux questions suivantes : </w:t>
      </w:r>
    </w:p>
    <w:p w14:paraId="7C313FC6" w14:textId="61C33FAC" w:rsidR="00D3461B" w:rsidRDefault="00D3461B" w:rsidP="00D3461B">
      <w:pPr>
        <w:pStyle w:val="Paragraphedeliste"/>
        <w:numPr>
          <w:ilvl w:val="0"/>
          <w:numId w:val="2"/>
        </w:numPr>
        <w:rPr>
          <w:bCs/>
        </w:rPr>
      </w:pPr>
      <w:r>
        <w:rPr>
          <w:bCs/>
        </w:rPr>
        <w:t>Les entreprises ont-elles tendance à moins innover et à moins protéger leurs innovations ?</w:t>
      </w:r>
    </w:p>
    <w:p w14:paraId="08687D9A" w14:textId="77777777" w:rsidR="00D3461B" w:rsidRPr="002E4E28" w:rsidRDefault="00D3461B" w:rsidP="00D3461B">
      <w:pPr>
        <w:pStyle w:val="Paragraphedeliste"/>
        <w:numPr>
          <w:ilvl w:val="0"/>
          <w:numId w:val="2"/>
        </w:numPr>
        <w:rPr>
          <w:bCs/>
        </w:rPr>
      </w:pPr>
      <w:r w:rsidRPr="002E4E28">
        <w:rPr>
          <w:bCs/>
        </w:rPr>
        <w:t>La protection de la propriété industrielle est-elle réservée aux grandes entreprises ?</w:t>
      </w:r>
    </w:p>
    <w:p w14:paraId="2BA73B5D" w14:textId="77777777" w:rsidR="00D3461B" w:rsidRDefault="00D3461B" w:rsidP="00D3461B"/>
    <w:p w14:paraId="499D1E06" w14:textId="0EE7997B" w:rsidR="00D3461B" w:rsidRDefault="00D3461B" w:rsidP="00D3461B">
      <w:pPr>
        <w:pStyle w:val="Default"/>
        <w:rPr>
          <w:rFonts w:ascii="Arial" w:hAnsi="Arial" w:cs="Arial"/>
          <w:b/>
          <w:bCs/>
          <w:color w:val="auto"/>
        </w:rPr>
      </w:pPr>
      <w:r w:rsidRPr="003B7B8B">
        <w:rPr>
          <w:rFonts w:ascii="Arial" w:hAnsi="Arial" w:cs="Arial"/>
          <w:b/>
          <w:bCs/>
          <w:color w:val="FFFFFF" w:themeColor="background1"/>
          <w:highlight w:val="red"/>
          <w:lang w:eastAsia="fr-FR"/>
        </w:rPr>
        <w:t xml:space="preserve">Doc. 1 </w:t>
      </w:r>
      <w:r w:rsidRPr="003B7B8B">
        <w:rPr>
          <w:rFonts w:ascii="Arial" w:hAnsi="Arial" w:cs="Arial"/>
          <w:b/>
          <w:bCs/>
          <w:color w:val="FFFFFF" w:themeColor="background1"/>
          <w:lang w:eastAsia="fr-FR"/>
        </w:rPr>
        <w:t xml:space="preserve"> </w:t>
      </w:r>
      <w:r w:rsidRPr="003B7B8B">
        <w:rPr>
          <w:rFonts w:ascii="Arial" w:hAnsi="Arial" w:cs="Arial"/>
          <w:b/>
          <w:bCs/>
          <w:color w:val="auto"/>
        </w:rPr>
        <w:t>Chiffres clés de la propriété industrielle 202</w:t>
      </w:r>
      <w:r w:rsidR="00805553">
        <w:rPr>
          <w:rFonts w:ascii="Arial" w:hAnsi="Arial" w:cs="Arial"/>
          <w:b/>
          <w:bCs/>
          <w:color w:val="auto"/>
        </w:rPr>
        <w:t>2</w:t>
      </w:r>
      <w:r w:rsidRPr="003B7B8B">
        <w:rPr>
          <w:rFonts w:ascii="Arial" w:hAnsi="Arial" w:cs="Arial"/>
          <w:b/>
          <w:bCs/>
          <w:color w:val="auto"/>
        </w:rPr>
        <w:t xml:space="preserve"> </w:t>
      </w:r>
    </w:p>
    <w:p w14:paraId="2B95B1B6" w14:textId="77777777" w:rsidR="00D3461B" w:rsidRPr="003B7B8B" w:rsidRDefault="00D3461B" w:rsidP="00D3461B">
      <w:pPr>
        <w:shd w:val="clear" w:color="auto" w:fill="FFFFFF"/>
        <w:spacing w:before="120" w:after="120"/>
        <w:jc w:val="left"/>
        <w:rPr>
          <w:rFonts w:cs="Arial"/>
          <w:color w:val="333333"/>
          <w:sz w:val="18"/>
          <w:szCs w:val="18"/>
        </w:rPr>
      </w:pPr>
      <w:r w:rsidRPr="003B7B8B">
        <w:rPr>
          <w:rFonts w:cs="Arial"/>
          <w:color w:val="333333"/>
          <w:sz w:val="18"/>
          <w:szCs w:val="18"/>
        </w:rPr>
        <w:t>Source : www.inpi.fr</w:t>
      </w:r>
    </w:p>
    <w:p w14:paraId="6ED61203" w14:textId="77777777" w:rsidR="00805553" w:rsidRPr="003B7B8B" w:rsidRDefault="00805553" w:rsidP="00805553">
      <w:pPr>
        <w:shd w:val="clear" w:color="auto" w:fill="FFFFFF"/>
        <w:spacing w:before="120" w:after="120"/>
        <w:jc w:val="left"/>
        <w:rPr>
          <w:rFonts w:cs="Arial"/>
          <w:color w:val="333333"/>
          <w:sz w:val="18"/>
          <w:szCs w:val="18"/>
        </w:rPr>
      </w:pPr>
      <w:r w:rsidRPr="003B7B8B">
        <w:rPr>
          <w:rFonts w:cs="Arial"/>
          <w:color w:val="333333"/>
          <w:sz w:val="18"/>
          <w:szCs w:val="18"/>
        </w:rPr>
        <w:t>Source : www.inpi.fr</w:t>
      </w:r>
    </w:p>
    <w:p w14:paraId="257DF0C8" w14:textId="77777777" w:rsidR="00805553" w:rsidRPr="00B43176" w:rsidRDefault="00805553" w:rsidP="00805553">
      <w:pPr>
        <w:shd w:val="clear" w:color="auto" w:fill="FFFFFF"/>
        <w:rPr>
          <w:rFonts w:ascii="Helvetica" w:hAnsi="Helvetica"/>
          <w:color w:val="333333"/>
          <w:sz w:val="18"/>
          <w:szCs w:val="20"/>
        </w:rPr>
      </w:pPr>
      <w:r w:rsidRPr="00B43176">
        <w:rPr>
          <w:rFonts w:ascii="Helvetica" w:hAnsi="Helvetica"/>
          <w:color w:val="333333"/>
          <w:sz w:val="18"/>
          <w:szCs w:val="20"/>
        </w:rPr>
        <w:t>L’</w:t>
      </w:r>
      <w:proofErr w:type="spellStart"/>
      <w:r w:rsidRPr="00B43176">
        <w:rPr>
          <w:rFonts w:ascii="Helvetica" w:hAnsi="Helvetica"/>
          <w:color w:val="333333"/>
          <w:sz w:val="18"/>
          <w:szCs w:val="20"/>
        </w:rPr>
        <w:t>INPI</w:t>
      </w:r>
      <w:proofErr w:type="spellEnd"/>
      <w:r w:rsidRPr="00B43176">
        <w:rPr>
          <w:rFonts w:ascii="Helvetica" w:hAnsi="Helvetica"/>
          <w:color w:val="333333"/>
          <w:sz w:val="18"/>
          <w:szCs w:val="20"/>
        </w:rPr>
        <w:t xml:space="preserve"> publie les chiffres clés 2022 de la propriété industrielle en France. Après deux années record, le nombre de dépôts de marques repasse sous la barre des 100 000 marques déposées, soit un retour à la normale. Les demandes de dépôts de brevets sont stables, tandis que les dessins &amp; modèles sont en léger recul.</w:t>
      </w:r>
    </w:p>
    <w:p w14:paraId="6B8AED83" w14:textId="77777777" w:rsidR="00805553" w:rsidRDefault="00805553" w:rsidP="00805553">
      <w:pPr>
        <w:pStyle w:val="Default"/>
        <w:spacing w:before="120" w:after="120"/>
        <w:jc w:val="center"/>
        <w:rPr>
          <w:rFonts w:ascii="Arial" w:hAnsi="Arial" w:cs="Arial"/>
          <w:b/>
          <w:bCs/>
          <w:color w:val="auto"/>
          <w:sz w:val="22"/>
          <w:szCs w:val="22"/>
        </w:rPr>
      </w:pPr>
      <w:r>
        <w:rPr>
          <w:rFonts w:ascii="Arial" w:hAnsi="Arial" w:cs="Arial"/>
          <w:b/>
          <w:bCs/>
          <w:noProof/>
          <w:color w:val="auto"/>
          <w:sz w:val="22"/>
          <w:szCs w:val="22"/>
        </w:rPr>
        <w:drawing>
          <wp:inline distT="0" distB="0" distL="0" distR="0" wp14:anchorId="4BC6B805" wp14:editId="73F4967B">
            <wp:extent cx="4556881" cy="3347500"/>
            <wp:effectExtent l="19050" t="19050" r="15240" b="24765"/>
            <wp:docPr id="1101574091"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74091" name="Image 1" descr="Une image contenant texte, capture d’écran, logiciel, Page web&#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3365" cy="3374301"/>
                    </a:xfrm>
                    <a:prstGeom prst="rect">
                      <a:avLst/>
                    </a:prstGeom>
                    <a:ln>
                      <a:solidFill>
                        <a:schemeClr val="accent1"/>
                      </a:solidFill>
                    </a:ln>
                  </pic:spPr>
                </pic:pic>
              </a:graphicData>
            </a:graphic>
          </wp:inline>
        </w:drawing>
      </w:r>
    </w:p>
    <w:p w14:paraId="6DAAF747" w14:textId="77777777" w:rsidR="00D3461B" w:rsidRPr="003B7B8B" w:rsidRDefault="00D3461B" w:rsidP="00D3461B">
      <w:pPr>
        <w:rPr>
          <w:rFonts w:cs="Arial"/>
          <w:b/>
          <w:bCs/>
          <w:szCs w:val="20"/>
        </w:rPr>
      </w:pPr>
    </w:p>
    <w:p w14:paraId="52DD5ED8" w14:textId="77777777" w:rsidR="00D3461B" w:rsidRPr="00B23946" w:rsidRDefault="00D3461B" w:rsidP="00D3461B">
      <w:pPr>
        <w:pStyle w:val="Default"/>
        <w:rPr>
          <w:rFonts w:ascii="Arial" w:hAnsi="Arial" w:cs="Arial"/>
          <w:b/>
          <w:bCs/>
          <w:color w:val="000000" w:themeColor="text1"/>
          <w:lang w:eastAsia="fr-FR"/>
        </w:rPr>
      </w:pPr>
      <w:r w:rsidRPr="003B7B8B">
        <w:rPr>
          <w:rFonts w:ascii="Arial" w:hAnsi="Arial" w:cs="Arial"/>
          <w:b/>
          <w:bCs/>
          <w:color w:val="FFFFFF" w:themeColor="background1"/>
          <w:highlight w:val="red"/>
          <w:lang w:eastAsia="fr-FR"/>
        </w:rPr>
        <w:t xml:space="preserve">Doc. </w:t>
      </w:r>
      <w:r>
        <w:rPr>
          <w:rFonts w:ascii="Arial" w:hAnsi="Arial" w:cs="Arial"/>
          <w:b/>
          <w:bCs/>
          <w:color w:val="FFFFFF" w:themeColor="background1"/>
          <w:highlight w:val="red"/>
          <w:lang w:eastAsia="fr-FR"/>
        </w:rPr>
        <w:t>2</w:t>
      </w:r>
      <w:r w:rsidRPr="003B7B8B">
        <w:rPr>
          <w:rFonts w:ascii="Arial" w:hAnsi="Arial" w:cs="Arial"/>
          <w:b/>
          <w:bCs/>
          <w:color w:val="FFFFFF" w:themeColor="background1"/>
          <w:highlight w:val="red"/>
          <w:lang w:eastAsia="fr-FR"/>
        </w:rPr>
        <w:t xml:space="preserve"> </w:t>
      </w:r>
      <w:r w:rsidRPr="003B7B8B">
        <w:rPr>
          <w:rFonts w:ascii="Arial" w:hAnsi="Arial" w:cs="Arial"/>
          <w:b/>
          <w:bCs/>
          <w:color w:val="FFFFFF" w:themeColor="background1"/>
          <w:lang w:eastAsia="fr-FR"/>
        </w:rPr>
        <w:t xml:space="preserve"> </w:t>
      </w:r>
      <w:r>
        <w:rPr>
          <w:rFonts w:ascii="Arial" w:hAnsi="Arial" w:cs="Arial"/>
          <w:b/>
          <w:bCs/>
          <w:color w:val="000000" w:themeColor="text1"/>
          <w:lang w:eastAsia="fr-FR"/>
        </w:rPr>
        <w:t>Les personnes morales Française</w:t>
      </w:r>
      <w:r w:rsidRPr="00B23946">
        <w:rPr>
          <w:rFonts w:ascii="Arial" w:hAnsi="Arial" w:cs="Arial"/>
          <w:b/>
          <w:bCs/>
          <w:color w:val="000000" w:themeColor="text1"/>
          <w:lang w:eastAsia="fr-FR"/>
        </w:rPr>
        <w:t xml:space="preserve"> à l’</w:t>
      </w:r>
      <w:proofErr w:type="spellStart"/>
      <w:r w:rsidRPr="00B23946">
        <w:rPr>
          <w:rFonts w:ascii="Arial" w:hAnsi="Arial" w:cs="Arial"/>
          <w:b/>
          <w:bCs/>
          <w:color w:val="000000" w:themeColor="text1"/>
          <w:lang w:eastAsia="fr-FR"/>
        </w:rPr>
        <w:t>INPI</w:t>
      </w:r>
      <w:proofErr w:type="spellEnd"/>
      <w:r w:rsidRPr="00B23946">
        <w:rPr>
          <w:rFonts w:ascii="Arial" w:hAnsi="Arial" w:cs="Arial"/>
          <w:b/>
          <w:bCs/>
          <w:color w:val="000000" w:themeColor="text1"/>
          <w:lang w:eastAsia="fr-FR"/>
        </w:rPr>
        <w:t xml:space="preserve"> en 2019</w:t>
      </w:r>
    </w:p>
    <w:p w14:paraId="118C6EA5" w14:textId="77777777" w:rsidR="00D3461B" w:rsidRDefault="00D3461B" w:rsidP="00D3461B"/>
    <w:p w14:paraId="537D722D" w14:textId="7A402FC7" w:rsidR="00D3461B" w:rsidRDefault="00D3461B" w:rsidP="00D3461B">
      <w:pPr>
        <w:pStyle w:val="Default"/>
        <w:spacing w:before="120" w:after="120"/>
        <w:jc w:val="center"/>
        <w:rPr>
          <w:rFonts w:ascii="Arial" w:hAnsi="Arial" w:cs="Arial"/>
          <w:b/>
          <w:bCs/>
          <w:color w:val="auto"/>
        </w:rPr>
      </w:pPr>
      <w:r>
        <w:rPr>
          <w:rFonts w:ascii="Arial" w:hAnsi="Arial" w:cs="Arial"/>
          <w:b/>
          <w:bCs/>
          <w:noProof/>
          <w:color w:val="auto"/>
        </w:rPr>
        <w:drawing>
          <wp:inline distT="0" distB="0" distL="0" distR="0" wp14:anchorId="31DF0FA2" wp14:editId="55678C1F">
            <wp:extent cx="5184775" cy="2333743"/>
            <wp:effectExtent l="19050" t="19050" r="15875" b="2857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rotWithShape="1">
                    <a:blip r:embed="rId10" cstate="print">
                      <a:extLst>
                        <a:ext uri="{28A0092B-C50C-407E-A947-70E740481C1C}">
                          <a14:useLocalDpi xmlns:a14="http://schemas.microsoft.com/office/drawing/2010/main" val="0"/>
                        </a:ext>
                      </a:extLst>
                    </a:blip>
                    <a:srcRect t="10902"/>
                    <a:stretch/>
                  </pic:blipFill>
                  <pic:spPr bwMode="auto">
                    <a:xfrm>
                      <a:off x="0" y="0"/>
                      <a:ext cx="5186965" cy="233472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B75ECFE" w14:textId="46117DF3" w:rsidR="00C604BA" w:rsidRDefault="00C604BA" w:rsidP="00D3461B">
      <w:pPr>
        <w:pStyle w:val="Default"/>
        <w:spacing w:before="120" w:after="120"/>
        <w:jc w:val="center"/>
        <w:rPr>
          <w:rFonts w:ascii="Arial" w:hAnsi="Arial" w:cs="Arial"/>
          <w:b/>
          <w:bCs/>
          <w:color w:val="auto"/>
        </w:rPr>
      </w:pPr>
    </w:p>
    <w:p w14:paraId="7E88AD3F" w14:textId="246FE29F" w:rsidR="00C604BA" w:rsidRPr="00805553" w:rsidRDefault="00C604BA" w:rsidP="00C604BA">
      <w:pPr>
        <w:spacing w:before="120" w:after="120"/>
        <w:rPr>
          <w:rFonts w:cs="Arial"/>
          <w:b/>
          <w:sz w:val="24"/>
          <w:szCs w:val="24"/>
        </w:rPr>
      </w:pPr>
      <w:r w:rsidRPr="00805553">
        <w:rPr>
          <w:rFonts w:cs="Arial"/>
          <w:b/>
          <w:sz w:val="24"/>
          <w:szCs w:val="24"/>
        </w:rPr>
        <w:lastRenderedPageBreak/>
        <w:t>Réponses</w:t>
      </w:r>
    </w:p>
    <w:p w14:paraId="17EFA998" w14:textId="1653B201" w:rsidR="00C604BA" w:rsidRPr="00805553" w:rsidRDefault="00C604BA" w:rsidP="00C604BA">
      <w:pPr>
        <w:pStyle w:val="Paragraphedeliste"/>
        <w:numPr>
          <w:ilvl w:val="0"/>
          <w:numId w:val="4"/>
        </w:numPr>
        <w:rPr>
          <w:bCs/>
          <w:sz w:val="24"/>
          <w:szCs w:val="24"/>
        </w:rPr>
      </w:pPr>
      <w:r w:rsidRPr="00805553">
        <w:rPr>
          <w:bCs/>
          <w:sz w:val="24"/>
          <w:szCs w:val="24"/>
        </w:rPr>
        <w:t>Les entreprises ont-elles tendance à moins innover et à moins protéger leurs innovations ?</w:t>
      </w:r>
    </w:p>
    <w:p w14:paraId="23E09107" w14:textId="0C2203A2" w:rsidR="00C604BA" w:rsidRPr="00805553" w:rsidRDefault="00C604BA" w:rsidP="00C604BA">
      <w:pPr>
        <w:rPr>
          <w:bCs/>
          <w:sz w:val="24"/>
          <w:szCs w:val="24"/>
        </w:rPr>
      </w:pPr>
    </w:p>
    <w:p w14:paraId="0FF210E2" w14:textId="547E55F6" w:rsidR="00C604BA" w:rsidRPr="00805553" w:rsidRDefault="00C604BA" w:rsidP="00C604BA">
      <w:pPr>
        <w:rPr>
          <w:bCs/>
          <w:sz w:val="24"/>
          <w:szCs w:val="24"/>
        </w:rPr>
      </w:pPr>
    </w:p>
    <w:p w14:paraId="0DB4B07D" w14:textId="67E35106" w:rsidR="00C604BA" w:rsidRPr="00805553" w:rsidRDefault="00C604BA" w:rsidP="00C604BA">
      <w:pPr>
        <w:rPr>
          <w:bCs/>
          <w:sz w:val="24"/>
          <w:szCs w:val="24"/>
        </w:rPr>
      </w:pPr>
    </w:p>
    <w:p w14:paraId="16A83411" w14:textId="77777777" w:rsidR="00C604BA" w:rsidRPr="00805553" w:rsidRDefault="00C604BA" w:rsidP="00C604BA">
      <w:pPr>
        <w:rPr>
          <w:bCs/>
          <w:sz w:val="24"/>
          <w:szCs w:val="24"/>
        </w:rPr>
      </w:pPr>
    </w:p>
    <w:p w14:paraId="6049F400" w14:textId="77777777" w:rsidR="00C604BA" w:rsidRPr="00805553" w:rsidRDefault="00C604BA" w:rsidP="00C604BA">
      <w:pPr>
        <w:pStyle w:val="Paragraphedeliste"/>
        <w:numPr>
          <w:ilvl w:val="0"/>
          <w:numId w:val="4"/>
        </w:numPr>
        <w:rPr>
          <w:bCs/>
          <w:sz w:val="24"/>
          <w:szCs w:val="24"/>
        </w:rPr>
      </w:pPr>
      <w:r w:rsidRPr="00805553">
        <w:rPr>
          <w:bCs/>
          <w:sz w:val="24"/>
          <w:szCs w:val="24"/>
        </w:rPr>
        <w:t>La protection de la propriété industrielle est-elle réservée aux grandes entreprises ?</w:t>
      </w:r>
    </w:p>
    <w:p w14:paraId="10227E4B" w14:textId="77777777" w:rsidR="00C604BA" w:rsidRPr="00805553" w:rsidRDefault="00C604BA" w:rsidP="00C604BA">
      <w:pPr>
        <w:rPr>
          <w:sz w:val="24"/>
          <w:szCs w:val="24"/>
        </w:rPr>
      </w:pPr>
    </w:p>
    <w:p w14:paraId="2819BD87" w14:textId="77777777" w:rsidR="00C604BA" w:rsidRPr="00805553" w:rsidRDefault="00C604BA" w:rsidP="00D3461B">
      <w:pPr>
        <w:pStyle w:val="Default"/>
        <w:spacing w:before="120" w:after="120"/>
        <w:jc w:val="center"/>
        <w:rPr>
          <w:rFonts w:ascii="Arial" w:hAnsi="Arial" w:cs="Arial"/>
          <w:b/>
          <w:bCs/>
          <w:color w:val="auto"/>
        </w:rPr>
      </w:pPr>
    </w:p>
    <w:p w14:paraId="6791D323" w14:textId="77777777" w:rsidR="007075BE" w:rsidRPr="00D3461B" w:rsidRDefault="007075BE" w:rsidP="00D3461B"/>
    <w:sectPr w:rsidR="007075BE" w:rsidRPr="00D3461B" w:rsidSect="007A692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E702EC66"/>
    <w:lvl w:ilvl="0" w:tplc="B74C88F8">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AFD1164"/>
    <w:multiLevelType w:val="hybridMultilevel"/>
    <w:tmpl w:val="B18CD32E"/>
    <w:lvl w:ilvl="0" w:tplc="6DC0C1A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5F4BEF"/>
    <w:multiLevelType w:val="multilevel"/>
    <w:tmpl w:val="6BC4A5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2"/>
      <w:numFmt w:val="decimal"/>
      <w:lvlText w:val="%3"/>
      <w:lvlJc w:val="left"/>
      <w:pPr>
        <w:ind w:left="1800" w:hanging="360"/>
      </w:pPr>
      <w:rPr>
        <w:rFonts w:hint="default"/>
      </w:rPr>
    </w:lvl>
    <w:lvl w:ilvl="3">
      <w:numFmt w:val="bullet"/>
      <w:lvlText w:val="-"/>
      <w:lvlJc w:val="left"/>
      <w:pPr>
        <w:ind w:left="2520" w:hanging="360"/>
      </w:pPr>
      <w:rPr>
        <w:rFonts w:ascii="Arial" w:eastAsia="Calibri" w:hAnsi="Arial" w:cs="Aria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7EB75C9"/>
    <w:multiLevelType w:val="hybridMultilevel"/>
    <w:tmpl w:val="DD3615E4"/>
    <w:lvl w:ilvl="0" w:tplc="040C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300009">
    <w:abstractNumId w:val="0"/>
  </w:num>
  <w:num w:numId="2" w16cid:durableId="1263688279">
    <w:abstractNumId w:val="3"/>
  </w:num>
  <w:num w:numId="3" w16cid:durableId="1284262777">
    <w:abstractNumId w:val="2"/>
  </w:num>
  <w:num w:numId="4" w16cid:durableId="81795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28"/>
    <w:rsid w:val="001E7A59"/>
    <w:rsid w:val="007075BE"/>
    <w:rsid w:val="007A6928"/>
    <w:rsid w:val="00805553"/>
    <w:rsid w:val="00C604BA"/>
    <w:rsid w:val="00D34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C6EC"/>
  <w15:chartTrackingRefBased/>
  <w15:docId w15:val="{4E7120AE-3520-475F-819F-FF958C2E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28"/>
    <w:pPr>
      <w:spacing w:after="0" w:line="240" w:lineRule="auto"/>
      <w:jc w:val="both"/>
    </w:pPr>
    <w:rPr>
      <w:rFonts w:ascii="Arial" w:eastAsia="Calibri" w:hAnsi="Arial" w:cs="Times New Roman"/>
      <w:sz w:val="20"/>
    </w:rPr>
  </w:style>
  <w:style w:type="paragraph" w:styleId="Titre3">
    <w:name w:val="heading 3"/>
    <w:basedOn w:val="Normal"/>
    <w:next w:val="Normal"/>
    <w:link w:val="Titre3Car"/>
    <w:uiPriority w:val="9"/>
    <w:qFormat/>
    <w:rsid w:val="007A6928"/>
    <w:pPr>
      <w:numPr>
        <w:numId w:val="1"/>
      </w:numPr>
      <w:spacing w:after="120"/>
      <w:outlineLvl w:val="2"/>
    </w:pPr>
    <w:rPr>
      <w:rFonts w:eastAsia="Times New Roman" w:cs="Arial"/>
      <w:b/>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A6928"/>
    <w:rPr>
      <w:rFonts w:ascii="Arial" w:eastAsia="Times New Roman" w:hAnsi="Arial" w:cs="Arial"/>
      <w:b/>
      <w:color w:val="000000"/>
      <w:sz w:val="20"/>
      <w:szCs w:val="20"/>
      <w:lang w:eastAsia="fr-FR"/>
    </w:rPr>
  </w:style>
  <w:style w:type="table" w:styleId="Grilledutableau">
    <w:name w:val="Table Grid"/>
    <w:basedOn w:val="TableauNormal"/>
    <w:uiPriority w:val="59"/>
    <w:rsid w:val="007A69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928"/>
    <w:pPr>
      <w:autoSpaceDE w:val="0"/>
      <w:autoSpaceDN w:val="0"/>
      <w:adjustRightInd w:val="0"/>
      <w:spacing w:after="0"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7A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2021-11-18T19:44:00Z</dcterms:created>
  <dcterms:modified xsi:type="dcterms:W3CDTF">2023-11-21T12:30:00Z</dcterms:modified>
</cp:coreProperties>
</file>