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2C3081" w:rsidRPr="009067DA" w14:paraId="5741630A" w14:textId="77777777" w:rsidTr="002E20CE">
        <w:trPr>
          <w:trHeight w:val="386"/>
        </w:trPr>
        <w:tc>
          <w:tcPr>
            <w:tcW w:w="9918" w:type="dxa"/>
            <w:gridSpan w:val="3"/>
            <w:shd w:val="clear" w:color="auto" w:fill="FFFF00"/>
          </w:tcPr>
          <w:p w14:paraId="1066EA90" w14:textId="77777777" w:rsidR="002C3081" w:rsidRPr="009067DA" w:rsidRDefault="002C3081" w:rsidP="002C3081">
            <w:pPr>
              <w:pStyle w:val="Titre2"/>
              <w:jc w:val="center"/>
            </w:pPr>
            <w:r w:rsidRPr="009067DA">
              <w:t xml:space="preserve">Réflexion </w:t>
            </w:r>
            <w:r>
              <w:t>2</w:t>
            </w:r>
            <w:r w:rsidRPr="009067DA">
              <w:t xml:space="preserve"> - </w:t>
            </w:r>
            <w:r>
              <w:t>I</w:t>
            </w:r>
            <w:r w:rsidRPr="002B324C">
              <w:t xml:space="preserve">dentifier </w:t>
            </w:r>
            <w:r>
              <w:t>les risques d’un défaut d’assurance</w:t>
            </w:r>
          </w:p>
        </w:tc>
      </w:tr>
      <w:tr w:rsidR="002C3081" w:rsidRPr="00173A63" w14:paraId="694D6CF7" w14:textId="77777777" w:rsidTr="002E20CE">
        <w:trPr>
          <w:trHeight w:val="267"/>
        </w:trPr>
        <w:tc>
          <w:tcPr>
            <w:tcW w:w="1413" w:type="dxa"/>
            <w:shd w:val="clear" w:color="auto" w:fill="FFFF00"/>
            <w:vAlign w:val="center"/>
          </w:tcPr>
          <w:p w14:paraId="0281507A" w14:textId="77777777" w:rsidR="002C3081" w:rsidRPr="00173A63" w:rsidRDefault="002C3081" w:rsidP="002E20CE">
            <w:pPr>
              <w:jc w:val="center"/>
              <w:rPr>
                <w:i/>
              </w:rPr>
            </w:pPr>
            <w:r w:rsidRPr="00FF0A24">
              <w:rPr>
                <w:b/>
              </w:rPr>
              <w:t>Durée</w:t>
            </w:r>
            <w:r>
              <w:t xml:space="preserve"> : 20’</w:t>
            </w:r>
          </w:p>
        </w:tc>
        <w:tc>
          <w:tcPr>
            <w:tcW w:w="7229" w:type="dxa"/>
            <w:shd w:val="clear" w:color="auto" w:fill="FFFF00"/>
            <w:vAlign w:val="center"/>
          </w:tcPr>
          <w:p w14:paraId="35F903A1" w14:textId="0259C37F" w:rsidR="002C3081" w:rsidRPr="00173A63" w:rsidRDefault="00F83ED7" w:rsidP="002E20CE">
            <w:pPr>
              <w:jc w:val="center"/>
              <w:rPr>
                <w:i/>
              </w:rPr>
            </w:pPr>
            <w:r>
              <w:rPr>
                <w:i/>
                <w:noProof/>
              </w:rPr>
              <w:drawing>
                <wp:inline distT="0" distB="0" distL="0" distR="0" wp14:anchorId="4FFF16D5" wp14:editId="6A52B795">
                  <wp:extent cx="325120" cy="325120"/>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5755" cy="325755"/>
                          </a:xfrm>
                          <a:prstGeom prst="rect">
                            <a:avLst/>
                          </a:prstGeom>
                        </pic:spPr>
                      </pic:pic>
                    </a:graphicData>
                  </a:graphic>
                </wp:inline>
              </w:drawing>
            </w:r>
            <w:r>
              <w:rPr>
                <w:i/>
              </w:rPr>
              <w:t xml:space="preserve">ou </w:t>
            </w:r>
            <w:r>
              <w:rPr>
                <w:i/>
                <w:noProof/>
              </w:rPr>
              <w:drawing>
                <wp:inline distT="0" distB="0" distL="0" distR="0" wp14:anchorId="081BB7C2" wp14:editId="303338D8">
                  <wp:extent cx="368300" cy="36830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1"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5760" cy="365760"/>
                          </a:xfrm>
                          <a:prstGeom prst="rect">
                            <a:avLst/>
                          </a:prstGeom>
                        </pic:spPr>
                      </pic:pic>
                    </a:graphicData>
                  </a:graphic>
                </wp:inline>
              </w:drawing>
            </w:r>
          </w:p>
        </w:tc>
        <w:tc>
          <w:tcPr>
            <w:tcW w:w="1276" w:type="dxa"/>
            <w:shd w:val="clear" w:color="auto" w:fill="FFFF00"/>
            <w:vAlign w:val="center"/>
          </w:tcPr>
          <w:p w14:paraId="2D0D10E2" w14:textId="77777777" w:rsidR="002C3081" w:rsidRPr="006D456D" w:rsidRDefault="002C3081" w:rsidP="002E20CE">
            <w:pPr>
              <w:jc w:val="center"/>
              <w:rPr>
                <w:b/>
                <w:bCs/>
                <w:iCs/>
              </w:rPr>
            </w:pPr>
            <w:r w:rsidRPr="006D456D">
              <w:rPr>
                <w:b/>
                <w:bCs/>
                <w:iCs/>
              </w:rPr>
              <w:t>Source</w:t>
            </w:r>
          </w:p>
        </w:tc>
      </w:tr>
    </w:tbl>
    <w:p w14:paraId="5A5A28C7" w14:textId="77777777" w:rsidR="002C3081" w:rsidRDefault="002C3081" w:rsidP="002C3081">
      <w:pPr>
        <w:rPr>
          <w:rFonts w:cs="Arial"/>
          <w:b/>
        </w:rPr>
      </w:pPr>
    </w:p>
    <w:p w14:paraId="4FDB4D75" w14:textId="77777777" w:rsidR="002C3081" w:rsidRPr="002B324C" w:rsidRDefault="002C3081" w:rsidP="002C3081">
      <w:pPr>
        <w:spacing w:before="120" w:after="120"/>
        <w:rPr>
          <w:rFonts w:cs="Arial"/>
          <w:b/>
          <w:sz w:val="24"/>
          <w:szCs w:val="32"/>
        </w:rPr>
      </w:pPr>
      <w:r w:rsidRPr="002B324C">
        <w:rPr>
          <w:rFonts w:cs="Arial"/>
          <w:b/>
          <w:sz w:val="24"/>
          <w:szCs w:val="32"/>
        </w:rPr>
        <w:t>Travail à faire</w:t>
      </w:r>
    </w:p>
    <w:p w14:paraId="2B376250" w14:textId="5CB4E0E8" w:rsidR="002C3081" w:rsidRPr="002C3081" w:rsidRDefault="002C3081" w:rsidP="002C3081">
      <w:pPr>
        <w:spacing w:after="120"/>
        <w:rPr>
          <w:bCs/>
          <w:sz w:val="20"/>
          <w:szCs w:val="20"/>
        </w:rPr>
      </w:pPr>
      <w:r w:rsidRPr="002C3081">
        <w:rPr>
          <w:bCs/>
          <w:sz w:val="20"/>
          <w:szCs w:val="20"/>
        </w:rPr>
        <w:t xml:space="preserve">Lisez le </w:t>
      </w:r>
      <w:r w:rsidRPr="002C3081">
        <w:rPr>
          <w:b/>
          <w:sz w:val="20"/>
          <w:szCs w:val="20"/>
        </w:rPr>
        <w:t xml:space="preserve">document </w:t>
      </w:r>
      <w:r w:rsidR="006B087E">
        <w:rPr>
          <w:bCs/>
          <w:sz w:val="20"/>
          <w:szCs w:val="20"/>
        </w:rPr>
        <w:t>puis</w:t>
      </w:r>
      <w:r w:rsidRPr="002C3081">
        <w:rPr>
          <w:bCs/>
          <w:sz w:val="20"/>
          <w:szCs w:val="20"/>
        </w:rPr>
        <w:t xml:space="preserve"> répondez aux questions suivantes :</w:t>
      </w:r>
    </w:p>
    <w:p w14:paraId="06C3649E" w14:textId="77777777" w:rsidR="002C3081" w:rsidRPr="002C3081" w:rsidRDefault="002C3081" w:rsidP="002C3081">
      <w:pPr>
        <w:pStyle w:val="Paragraphedeliste"/>
        <w:numPr>
          <w:ilvl w:val="0"/>
          <w:numId w:val="4"/>
        </w:numPr>
        <w:rPr>
          <w:bCs/>
          <w:sz w:val="20"/>
          <w:szCs w:val="20"/>
        </w:rPr>
      </w:pPr>
      <w:r w:rsidRPr="002C3081">
        <w:rPr>
          <w:bCs/>
          <w:sz w:val="20"/>
          <w:szCs w:val="20"/>
        </w:rPr>
        <w:t>Qu’est-ce que la responsabilité civile décennale ?</w:t>
      </w:r>
    </w:p>
    <w:p w14:paraId="10F7B4CD" w14:textId="77777777" w:rsidR="002C3081" w:rsidRPr="002C3081" w:rsidRDefault="002C3081" w:rsidP="002C3081">
      <w:pPr>
        <w:pStyle w:val="Paragraphedeliste"/>
        <w:numPr>
          <w:ilvl w:val="0"/>
          <w:numId w:val="4"/>
        </w:numPr>
        <w:rPr>
          <w:bCs/>
          <w:sz w:val="20"/>
          <w:szCs w:val="20"/>
        </w:rPr>
      </w:pPr>
      <w:r w:rsidRPr="002C3081">
        <w:rPr>
          <w:bCs/>
          <w:sz w:val="20"/>
          <w:szCs w:val="20"/>
        </w:rPr>
        <w:t>Qui protège-t-elle, contre qui et pendant combien de temps ?</w:t>
      </w:r>
    </w:p>
    <w:p w14:paraId="09DFE72E" w14:textId="77777777" w:rsidR="002C3081" w:rsidRPr="002C3081" w:rsidRDefault="002C3081" w:rsidP="002C3081">
      <w:pPr>
        <w:pStyle w:val="Paragraphedeliste"/>
        <w:numPr>
          <w:ilvl w:val="0"/>
          <w:numId w:val="4"/>
        </w:numPr>
        <w:rPr>
          <w:bCs/>
          <w:sz w:val="20"/>
          <w:szCs w:val="20"/>
        </w:rPr>
      </w:pPr>
      <w:r w:rsidRPr="002C3081">
        <w:rPr>
          <w:bCs/>
          <w:sz w:val="20"/>
          <w:szCs w:val="20"/>
        </w:rPr>
        <w:t>Quelle est la peine encourue par l’entreprise qui n’a pas cette assurance ?</w:t>
      </w:r>
    </w:p>
    <w:p w14:paraId="6DB486DB" w14:textId="77777777" w:rsidR="002C3081" w:rsidRPr="002C3081" w:rsidRDefault="002C3081" w:rsidP="002C3081">
      <w:pPr>
        <w:rPr>
          <w:sz w:val="20"/>
          <w:szCs w:val="20"/>
        </w:rPr>
      </w:pPr>
    </w:p>
    <w:p w14:paraId="41A673C6" w14:textId="77777777" w:rsidR="002C3081" w:rsidRDefault="002C3081" w:rsidP="002C3081"/>
    <w:p w14:paraId="035F8559" w14:textId="7FEDE02A" w:rsidR="002C3081" w:rsidRPr="00522FAD" w:rsidRDefault="002C3081" w:rsidP="002C3081">
      <w:pPr>
        <w:jc w:val="left"/>
        <w:rPr>
          <w:rFonts w:cs="Arial"/>
          <w:b/>
          <w:color w:val="000000" w:themeColor="text1"/>
          <w:sz w:val="24"/>
          <w:szCs w:val="20"/>
        </w:rPr>
      </w:pPr>
      <w:r w:rsidRPr="00D052F4">
        <w:rPr>
          <w:rFonts w:cs="Arial"/>
          <w:b/>
          <w:color w:val="FFFFFF" w:themeColor="background1"/>
          <w:sz w:val="24"/>
          <w:szCs w:val="20"/>
          <w:highlight w:val="red"/>
        </w:rPr>
        <w:t>Doc. </w:t>
      </w:r>
      <w:r w:rsidRPr="00D052F4">
        <w:rPr>
          <w:rFonts w:cs="Arial"/>
          <w:b/>
          <w:color w:val="FFFFFF" w:themeColor="background1"/>
          <w:sz w:val="24"/>
          <w:szCs w:val="20"/>
        </w:rPr>
        <w:t xml:space="preserve"> </w:t>
      </w:r>
      <w:r w:rsidRPr="00522FAD">
        <w:rPr>
          <w:rFonts w:cs="Arial"/>
          <w:b/>
          <w:color w:val="000000" w:themeColor="text1"/>
          <w:sz w:val="24"/>
          <w:szCs w:val="20"/>
        </w:rPr>
        <w:t xml:space="preserve">Sanction </w:t>
      </w:r>
      <w:r>
        <w:rPr>
          <w:rFonts w:cs="Arial"/>
          <w:b/>
          <w:color w:val="000000" w:themeColor="text1"/>
          <w:sz w:val="24"/>
          <w:szCs w:val="20"/>
        </w:rPr>
        <w:t>au</w:t>
      </w:r>
      <w:r w:rsidRPr="00522FAD">
        <w:rPr>
          <w:rFonts w:cs="Arial"/>
          <w:b/>
          <w:color w:val="000000" w:themeColor="text1"/>
          <w:sz w:val="24"/>
          <w:szCs w:val="20"/>
        </w:rPr>
        <w:t xml:space="preserve"> défaut d’assurance </w:t>
      </w:r>
      <w:r>
        <w:rPr>
          <w:rFonts w:cs="Arial"/>
          <w:b/>
          <w:color w:val="000000" w:themeColor="text1"/>
          <w:sz w:val="24"/>
          <w:szCs w:val="20"/>
        </w:rPr>
        <w:t xml:space="preserve">responsabilité civile </w:t>
      </w:r>
      <w:r w:rsidRPr="00522FAD">
        <w:rPr>
          <w:rFonts w:cs="Arial"/>
          <w:b/>
          <w:color w:val="000000" w:themeColor="text1"/>
          <w:sz w:val="24"/>
          <w:szCs w:val="20"/>
        </w:rPr>
        <w:t xml:space="preserve">décennale </w:t>
      </w:r>
      <w:r>
        <w:rPr>
          <w:rFonts w:cs="Arial"/>
          <w:b/>
          <w:color w:val="000000" w:themeColor="text1"/>
          <w:sz w:val="24"/>
          <w:szCs w:val="20"/>
        </w:rPr>
        <w:t>(extrait)</w:t>
      </w:r>
    </w:p>
    <w:p w14:paraId="028B5BDC" w14:textId="77777777" w:rsidR="002C3081" w:rsidRPr="00522FAD" w:rsidRDefault="002C3081" w:rsidP="002C3081">
      <w:pPr>
        <w:spacing w:before="120"/>
        <w:jc w:val="left"/>
        <w:rPr>
          <w:rFonts w:cs="Arial"/>
          <w:color w:val="000000" w:themeColor="text1"/>
          <w:szCs w:val="20"/>
        </w:rPr>
      </w:pPr>
      <w:r>
        <w:rPr>
          <w:rFonts w:cs="Arial"/>
          <w:color w:val="000000" w:themeColor="text1"/>
          <w:szCs w:val="20"/>
          <w:lang w:eastAsia="fr-FR"/>
        </w:rPr>
        <w:t xml:space="preserve">Source : </w:t>
      </w:r>
      <w:r w:rsidRPr="00522FAD">
        <w:rPr>
          <w:rFonts w:cs="Arial"/>
          <w:color w:val="000000" w:themeColor="text1"/>
          <w:szCs w:val="20"/>
          <w:lang w:eastAsia="fr-FR"/>
        </w:rPr>
        <w:t>http://www.lexcap-avocats.com</w:t>
      </w:r>
      <w:r>
        <w:rPr>
          <w:rFonts w:cs="Arial"/>
          <w:color w:val="000000" w:themeColor="text1"/>
          <w:szCs w:val="20"/>
          <w:lang w:eastAsia="fr-FR"/>
        </w:rPr>
        <w:t>/</w:t>
      </w:r>
    </w:p>
    <w:p w14:paraId="374FC710" w14:textId="77777777" w:rsidR="002C3081" w:rsidRPr="002C3081" w:rsidRDefault="002C3081" w:rsidP="002C3081">
      <w:pPr>
        <w:spacing w:before="120"/>
        <w:rPr>
          <w:rFonts w:eastAsia="Times New Roman" w:cs="Arial"/>
          <w:color w:val="000000" w:themeColor="text1"/>
          <w:sz w:val="20"/>
          <w:szCs w:val="18"/>
          <w:lang w:eastAsia="fr-FR"/>
        </w:rPr>
      </w:pPr>
      <w:r w:rsidRPr="002C3081">
        <w:rPr>
          <w:rFonts w:eastAsia="Times New Roman" w:cs="Arial"/>
          <w:color w:val="000000" w:themeColor="text1"/>
          <w:sz w:val="20"/>
          <w:szCs w:val="18"/>
          <w:lang w:eastAsia="fr-FR"/>
        </w:rPr>
        <w:t xml:space="preserve">L’article L 241-1 du code des assurances dispose que : </w:t>
      </w:r>
      <w:r w:rsidRPr="002C3081">
        <w:rPr>
          <w:rFonts w:eastAsia="Times New Roman" w:cs="Arial"/>
          <w:i/>
          <w:iCs/>
          <w:color w:val="000000" w:themeColor="text1"/>
          <w:sz w:val="20"/>
          <w:szCs w:val="18"/>
          <w:lang w:eastAsia="fr-FR"/>
        </w:rPr>
        <w:t>« Toute personne physique ou morale, dont la responsabilité décennale peut être engagée sur le fondement de la présomption établie par les articles 1792 et suivants du code civil, doit être couverte par une assurance. »</w:t>
      </w:r>
    </w:p>
    <w:p w14:paraId="0A9476E0" w14:textId="77777777" w:rsidR="002C3081" w:rsidRPr="002C3081" w:rsidRDefault="002C3081" w:rsidP="002C3081">
      <w:pPr>
        <w:spacing w:before="120"/>
        <w:rPr>
          <w:rFonts w:eastAsia="Times New Roman" w:cs="Arial"/>
          <w:color w:val="000000" w:themeColor="text1"/>
          <w:sz w:val="20"/>
          <w:szCs w:val="18"/>
          <w:lang w:eastAsia="fr-FR"/>
        </w:rPr>
      </w:pPr>
      <w:r w:rsidRPr="002C3081">
        <w:rPr>
          <w:rFonts w:eastAsia="Times New Roman" w:cs="Arial"/>
          <w:color w:val="000000" w:themeColor="text1"/>
          <w:sz w:val="20"/>
          <w:szCs w:val="18"/>
          <w:lang w:eastAsia="fr-FR"/>
        </w:rPr>
        <w:t>L’obligation d’assurance s’impose à l’entrepreneur, à l’architecte, au maître d’œuvre, au fabricant d’EPERS, au contrôleur technique, au constructeur de maison individuelle avec fourniture de plan, au vendeur d’immeuble après achèvement, au vendeur d’immeuble à construire, au promoteur immobilier et au maître d’ouvrage délégué.</w:t>
      </w:r>
    </w:p>
    <w:p w14:paraId="7CA1337B" w14:textId="77777777" w:rsidR="002C3081" w:rsidRPr="002C3081" w:rsidRDefault="002C3081" w:rsidP="002C3081">
      <w:pPr>
        <w:spacing w:before="120"/>
        <w:rPr>
          <w:rFonts w:eastAsia="Times New Roman" w:cs="Arial"/>
          <w:color w:val="000000" w:themeColor="text1"/>
          <w:sz w:val="20"/>
          <w:szCs w:val="18"/>
          <w:lang w:eastAsia="fr-FR"/>
        </w:rPr>
      </w:pPr>
      <w:r w:rsidRPr="002C3081">
        <w:rPr>
          <w:rFonts w:eastAsia="Times New Roman" w:cs="Arial"/>
          <w:color w:val="000000" w:themeColor="text1"/>
          <w:sz w:val="20"/>
          <w:szCs w:val="18"/>
          <w:lang w:eastAsia="fr-FR"/>
        </w:rPr>
        <w:t>Il résulte des dispositions de l’article L 243-3 du code de la construction et de l’habitation que le défaut de souscription de l’assurance obligatoire de responsabilité civile décennale * est passible d’une peine d’emprisonnement de six mois et d’une amende de 75.000,00 €, ou de l’une de ces deux peines, sauf si le défaut de souscription concerne une personne physique qui a entrepris la construction d’un logement pour l’occuper elle-même ou le faire occuper par son conjoint, ses ascendants, ses descendants ou ceux de son conjoint.</w:t>
      </w:r>
    </w:p>
    <w:p w14:paraId="4F40FA28" w14:textId="77777777" w:rsidR="002C3081" w:rsidRPr="002C3081" w:rsidRDefault="002C3081" w:rsidP="002C3081">
      <w:pPr>
        <w:spacing w:before="120"/>
        <w:rPr>
          <w:rFonts w:eastAsia="Times New Roman" w:cs="Arial"/>
          <w:color w:val="000000" w:themeColor="text1"/>
          <w:sz w:val="20"/>
          <w:szCs w:val="18"/>
          <w:lang w:eastAsia="fr-FR"/>
        </w:rPr>
      </w:pPr>
      <w:r w:rsidRPr="002C3081">
        <w:rPr>
          <w:rFonts w:eastAsia="Times New Roman" w:cs="Arial"/>
          <w:color w:val="000000" w:themeColor="text1"/>
          <w:sz w:val="20"/>
          <w:szCs w:val="18"/>
          <w:lang w:eastAsia="fr-FR"/>
        </w:rPr>
        <w:t>Le délit se prescrit par trois ans à compter du jour de l’ouverture du chantier.</w:t>
      </w:r>
    </w:p>
    <w:p w14:paraId="0AC9AFC5" w14:textId="77777777" w:rsidR="002C3081" w:rsidRPr="002C3081" w:rsidRDefault="002C3081" w:rsidP="002C3081">
      <w:pPr>
        <w:spacing w:before="120"/>
        <w:rPr>
          <w:rFonts w:eastAsia="Times New Roman" w:cs="Arial"/>
          <w:color w:val="000000" w:themeColor="text1"/>
          <w:sz w:val="20"/>
          <w:szCs w:val="18"/>
          <w:lang w:eastAsia="fr-FR"/>
        </w:rPr>
      </w:pPr>
      <w:r w:rsidRPr="002C3081">
        <w:rPr>
          <w:rFonts w:eastAsia="Times New Roman" w:cs="Arial"/>
          <w:color w:val="000000" w:themeColor="text1"/>
          <w:sz w:val="20"/>
          <w:szCs w:val="18"/>
          <w:lang w:eastAsia="fr-FR"/>
        </w:rPr>
        <w:t>Sur le plan civil, l’infraction aux dispositions des articles L 241-1 et suivants du code des assurances que constitue l’absence de souscription de l’assurance RC décennale obligatoire, est susceptible de constituer une faute personnelle du dirigeant sur le fondement des dispositions de l’article 1382 du code civil, ce dont il doit alors répondre sur ses deniers personnels.</w:t>
      </w:r>
    </w:p>
    <w:p w14:paraId="7668C6DE" w14:textId="77777777" w:rsidR="002C3081" w:rsidRPr="002C3081" w:rsidRDefault="002C3081" w:rsidP="002C3081">
      <w:pPr>
        <w:spacing w:before="120"/>
        <w:rPr>
          <w:rFonts w:eastAsia="Times New Roman" w:cs="Arial"/>
          <w:color w:val="000000" w:themeColor="text1"/>
          <w:sz w:val="20"/>
          <w:szCs w:val="18"/>
          <w:lang w:eastAsia="fr-FR"/>
        </w:rPr>
      </w:pPr>
      <w:r w:rsidRPr="002C3081">
        <w:rPr>
          <w:rFonts w:eastAsia="Times New Roman" w:cs="Arial"/>
          <w:color w:val="000000" w:themeColor="text1"/>
          <w:sz w:val="20"/>
          <w:szCs w:val="18"/>
          <w:lang w:eastAsia="fr-FR"/>
        </w:rPr>
        <w:t>La jurisprudence tend en effet à considérer que le dirigeant d’une personne morale qui s’abstient de souscrire l’assurance RC décennale obligatoire, commet à l’égard du maître de l’ouvrage une faute détachable de ses fonctions, en application des dispositions de l’article L 223-22 du code de commerce (Cass, com., 28 septembre 2010, n° 09-66255).</w:t>
      </w:r>
    </w:p>
    <w:p w14:paraId="2CA23C98" w14:textId="77777777" w:rsidR="002C3081" w:rsidRPr="002C3081" w:rsidRDefault="002C3081" w:rsidP="002C3081">
      <w:pPr>
        <w:spacing w:before="120"/>
        <w:rPr>
          <w:rFonts w:cs="Arial"/>
          <w:color w:val="000000" w:themeColor="text1"/>
          <w:sz w:val="20"/>
          <w:szCs w:val="18"/>
        </w:rPr>
      </w:pPr>
    </w:p>
    <w:p w14:paraId="66FB5621" w14:textId="77777777" w:rsidR="002C3081" w:rsidRPr="002C3081" w:rsidRDefault="002C3081" w:rsidP="002C3081">
      <w:pPr>
        <w:spacing w:before="120"/>
        <w:rPr>
          <w:color w:val="000000" w:themeColor="text1"/>
          <w:sz w:val="20"/>
          <w:szCs w:val="20"/>
        </w:rPr>
      </w:pPr>
      <w:r w:rsidRPr="002C3081">
        <w:rPr>
          <w:b/>
          <w:color w:val="000000" w:themeColor="text1"/>
          <w:sz w:val="20"/>
          <w:szCs w:val="20"/>
        </w:rPr>
        <w:t>* Responsabilité décennales</w:t>
      </w:r>
      <w:r w:rsidRPr="002C3081">
        <w:rPr>
          <w:color w:val="000000" w:themeColor="text1"/>
          <w:sz w:val="20"/>
          <w:szCs w:val="20"/>
        </w:rPr>
        <w:t xml:space="preserve"> : </w:t>
      </w:r>
      <w:r w:rsidRPr="002C3081">
        <w:rPr>
          <w:rFonts w:cs="Arial"/>
          <w:color w:val="000000" w:themeColor="text1"/>
          <w:sz w:val="20"/>
          <w:szCs w:val="20"/>
        </w:rPr>
        <w:t>La garantie décennale est la garantie due par un constructeur et couvrant la réparation de certains dommages pouvant affecter une construction pendant une durée de 10 ans à compter de la réception des travaux.</w:t>
      </w:r>
    </w:p>
    <w:p w14:paraId="532411B2" w14:textId="77777777" w:rsidR="002C3081" w:rsidRPr="00522FAD" w:rsidRDefault="002C3081" w:rsidP="002C3081">
      <w:pPr>
        <w:spacing w:before="120"/>
        <w:rPr>
          <w:color w:val="000000" w:themeColor="text1"/>
        </w:rPr>
      </w:pPr>
    </w:p>
    <w:p w14:paraId="75935EBF" w14:textId="77777777" w:rsidR="000B6463" w:rsidRPr="00F849CA" w:rsidRDefault="000B6463" w:rsidP="000B6463">
      <w:pPr>
        <w:rPr>
          <w:sz w:val="24"/>
        </w:rPr>
      </w:pPr>
    </w:p>
    <w:p w14:paraId="31A6C91D" w14:textId="787136C7" w:rsidR="00F849CA" w:rsidRPr="00F849CA" w:rsidRDefault="002C3081" w:rsidP="00F849CA">
      <w:pPr>
        <w:rPr>
          <w:b/>
          <w:sz w:val="24"/>
        </w:rPr>
      </w:pPr>
      <w:r>
        <w:rPr>
          <w:b/>
          <w:sz w:val="24"/>
        </w:rPr>
        <w:t>Réponses</w:t>
      </w:r>
    </w:p>
    <w:p w14:paraId="0F425C0A" w14:textId="77777777" w:rsidR="00F849CA" w:rsidRPr="00F849CA" w:rsidRDefault="00F849CA" w:rsidP="00F849CA">
      <w:pPr>
        <w:rPr>
          <w:b/>
          <w:sz w:val="24"/>
        </w:rPr>
      </w:pPr>
    </w:p>
    <w:p w14:paraId="7FD19CDB" w14:textId="77777777" w:rsidR="00F849CA" w:rsidRPr="00F849CA" w:rsidRDefault="00F849CA" w:rsidP="002C3081">
      <w:pPr>
        <w:pStyle w:val="Paragraphedeliste"/>
        <w:numPr>
          <w:ilvl w:val="0"/>
          <w:numId w:val="8"/>
        </w:numPr>
        <w:rPr>
          <w:b/>
          <w:sz w:val="24"/>
        </w:rPr>
      </w:pPr>
      <w:r w:rsidRPr="00F849CA">
        <w:rPr>
          <w:b/>
          <w:sz w:val="24"/>
        </w:rPr>
        <w:t>Qu’est-ce que la responsabilité civile décennale ?</w:t>
      </w:r>
    </w:p>
    <w:p w14:paraId="277B8ABA" w14:textId="77777777" w:rsidR="00F849CA" w:rsidRDefault="00F849CA" w:rsidP="00F849CA">
      <w:pPr>
        <w:rPr>
          <w:b/>
          <w:sz w:val="24"/>
        </w:rPr>
      </w:pPr>
    </w:p>
    <w:p w14:paraId="4985BD23" w14:textId="77777777" w:rsidR="004820D4" w:rsidRDefault="004820D4" w:rsidP="00F849CA">
      <w:pPr>
        <w:rPr>
          <w:b/>
          <w:sz w:val="24"/>
        </w:rPr>
      </w:pPr>
    </w:p>
    <w:p w14:paraId="2AB5D111" w14:textId="77777777" w:rsidR="004820D4" w:rsidRPr="00F849CA" w:rsidRDefault="004820D4" w:rsidP="00F849CA">
      <w:pPr>
        <w:rPr>
          <w:b/>
          <w:sz w:val="24"/>
        </w:rPr>
      </w:pPr>
    </w:p>
    <w:p w14:paraId="1C223B7D" w14:textId="2B6652E6" w:rsidR="00F849CA" w:rsidRPr="00F849CA" w:rsidRDefault="00F849CA" w:rsidP="002C3081">
      <w:pPr>
        <w:pStyle w:val="Paragraphedeliste"/>
        <w:numPr>
          <w:ilvl w:val="0"/>
          <w:numId w:val="8"/>
        </w:numPr>
        <w:rPr>
          <w:b/>
          <w:sz w:val="24"/>
        </w:rPr>
      </w:pPr>
      <w:r w:rsidRPr="00F849CA">
        <w:rPr>
          <w:b/>
          <w:sz w:val="24"/>
        </w:rPr>
        <w:t>Qui protège</w:t>
      </w:r>
      <w:r w:rsidR="002C3081">
        <w:rPr>
          <w:b/>
          <w:sz w:val="24"/>
        </w:rPr>
        <w:t>-</w:t>
      </w:r>
      <w:r w:rsidRPr="00F849CA">
        <w:rPr>
          <w:b/>
          <w:sz w:val="24"/>
        </w:rPr>
        <w:t>t</w:t>
      </w:r>
      <w:r w:rsidR="002C3081">
        <w:rPr>
          <w:b/>
          <w:sz w:val="24"/>
        </w:rPr>
        <w:t>-</w:t>
      </w:r>
      <w:r w:rsidRPr="00F849CA">
        <w:rPr>
          <w:b/>
          <w:sz w:val="24"/>
        </w:rPr>
        <w:t>elle</w:t>
      </w:r>
      <w:r w:rsidR="004820D4">
        <w:rPr>
          <w:b/>
          <w:sz w:val="24"/>
        </w:rPr>
        <w:t>,</w:t>
      </w:r>
      <w:r w:rsidRPr="00F849CA">
        <w:rPr>
          <w:b/>
          <w:sz w:val="24"/>
        </w:rPr>
        <w:t xml:space="preserve"> contre qui</w:t>
      </w:r>
      <w:r w:rsidR="004820D4">
        <w:rPr>
          <w:b/>
          <w:sz w:val="24"/>
        </w:rPr>
        <w:t>,</w:t>
      </w:r>
      <w:r w:rsidRPr="00F849CA">
        <w:rPr>
          <w:b/>
          <w:sz w:val="24"/>
        </w:rPr>
        <w:t> et pendant combien de temps ?</w:t>
      </w:r>
    </w:p>
    <w:p w14:paraId="6850FABB" w14:textId="77777777" w:rsidR="00F849CA" w:rsidRPr="00F849CA" w:rsidRDefault="00F849CA" w:rsidP="00F849CA">
      <w:pPr>
        <w:pStyle w:val="Paragraphedeliste"/>
        <w:rPr>
          <w:b/>
          <w:sz w:val="24"/>
        </w:rPr>
      </w:pPr>
    </w:p>
    <w:p w14:paraId="05AFCD5A" w14:textId="77777777" w:rsidR="00F849CA" w:rsidRDefault="00F849CA" w:rsidP="00F849CA">
      <w:pPr>
        <w:rPr>
          <w:b/>
          <w:sz w:val="24"/>
        </w:rPr>
      </w:pPr>
    </w:p>
    <w:p w14:paraId="44659B02" w14:textId="77777777" w:rsidR="003A6BB8" w:rsidRPr="00F849CA" w:rsidRDefault="003A6BB8" w:rsidP="00F849CA">
      <w:pPr>
        <w:rPr>
          <w:b/>
          <w:sz w:val="24"/>
        </w:rPr>
      </w:pPr>
    </w:p>
    <w:p w14:paraId="08F8871A" w14:textId="77777777" w:rsidR="00F849CA" w:rsidRPr="00F849CA" w:rsidRDefault="00F849CA" w:rsidP="002C3081">
      <w:pPr>
        <w:pStyle w:val="Paragraphedeliste"/>
        <w:numPr>
          <w:ilvl w:val="0"/>
          <w:numId w:val="8"/>
        </w:numPr>
        <w:rPr>
          <w:b/>
          <w:sz w:val="24"/>
        </w:rPr>
      </w:pPr>
      <w:r w:rsidRPr="00F849CA">
        <w:rPr>
          <w:b/>
          <w:sz w:val="24"/>
        </w:rPr>
        <w:t>Quelle est la peine encourue par l’entreprise qui n’a pas cette assurance ?</w:t>
      </w:r>
    </w:p>
    <w:p w14:paraId="4163AF16" w14:textId="77777777" w:rsidR="00F849CA" w:rsidRPr="00F849CA" w:rsidRDefault="00F849CA" w:rsidP="00F849CA">
      <w:pPr>
        <w:rPr>
          <w:sz w:val="24"/>
        </w:rPr>
      </w:pPr>
    </w:p>
    <w:sectPr w:rsidR="00F849CA" w:rsidRPr="00F849CA" w:rsidSect="002C308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9F7597"/>
    <w:multiLevelType w:val="hybridMultilevel"/>
    <w:tmpl w:val="CD9EA340"/>
    <w:lvl w:ilvl="0" w:tplc="DC1CB14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8665315">
    <w:abstractNumId w:val="6"/>
  </w:num>
  <w:num w:numId="2" w16cid:durableId="148837448">
    <w:abstractNumId w:val="2"/>
  </w:num>
  <w:num w:numId="3" w16cid:durableId="1768766245">
    <w:abstractNumId w:val="3"/>
  </w:num>
  <w:num w:numId="4" w16cid:durableId="188568045">
    <w:abstractNumId w:val="4"/>
  </w:num>
  <w:num w:numId="5" w16cid:durableId="1979064612">
    <w:abstractNumId w:val="5"/>
  </w:num>
  <w:num w:numId="6" w16cid:durableId="1093553133">
    <w:abstractNumId w:val="1"/>
  </w:num>
  <w:num w:numId="7" w16cid:durableId="849874719">
    <w:abstractNumId w:val="0"/>
  </w:num>
  <w:num w:numId="8" w16cid:durableId="831482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B6463"/>
    <w:rsid w:val="001601CC"/>
    <w:rsid w:val="002C3081"/>
    <w:rsid w:val="003A6BB8"/>
    <w:rsid w:val="004820D4"/>
    <w:rsid w:val="006B087E"/>
    <w:rsid w:val="00850645"/>
    <w:rsid w:val="00955AA4"/>
    <w:rsid w:val="00F83ED7"/>
    <w:rsid w:val="00F84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1EE1"/>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2C30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 w:type="character" w:customStyle="1" w:styleId="Titre3Car">
    <w:name w:val="Titre 3 Car"/>
    <w:basedOn w:val="Policepardfaut"/>
    <w:link w:val="Titre3"/>
    <w:uiPriority w:val="9"/>
    <w:semiHidden/>
    <w:rsid w:val="002C308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2429</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2015-10-07T22:25:00Z</dcterms:created>
  <dcterms:modified xsi:type="dcterms:W3CDTF">2023-11-21T10:24:00Z</dcterms:modified>
</cp:coreProperties>
</file>