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99" w:type="dxa"/>
        <w:tblInd w:w="-1" w:type="dxa"/>
        <w:shd w:val="clear" w:color="auto" w:fill="92D050"/>
        <w:tblLayout w:type="fixed"/>
        <w:tblLook w:val="04A0" w:firstRow="1" w:lastRow="0" w:firstColumn="1" w:lastColumn="0" w:noHBand="0" w:noVBand="1"/>
      </w:tblPr>
      <w:tblGrid>
        <w:gridCol w:w="1272"/>
        <w:gridCol w:w="6946"/>
        <w:gridCol w:w="1781"/>
      </w:tblGrid>
      <w:tr w:rsidR="00A2143D" w:rsidRPr="009C64F3" w14:paraId="202845F3" w14:textId="77777777" w:rsidTr="002E20CE">
        <w:trPr>
          <w:trHeight w:val="227"/>
        </w:trPr>
        <w:tc>
          <w:tcPr>
            <w:tcW w:w="8218" w:type="dxa"/>
            <w:gridSpan w:val="2"/>
            <w:shd w:val="clear" w:color="auto" w:fill="92D050"/>
            <w:vAlign w:val="center"/>
          </w:tcPr>
          <w:p w14:paraId="213B8918" w14:textId="0D83CE43" w:rsidR="00A2143D" w:rsidRPr="00B3635C" w:rsidRDefault="00A2143D" w:rsidP="002E20CE">
            <w:pPr>
              <w:pStyle w:val="Titre3"/>
              <w:jc w:val="center"/>
              <w:rPr>
                <w:rFonts w:ascii="Arial" w:hAnsi="Arial" w:cs="Arial"/>
                <w:b/>
                <w:bCs/>
                <w:color w:val="000000" w:themeColor="text1"/>
                <w:sz w:val="28"/>
                <w:szCs w:val="32"/>
              </w:rPr>
            </w:pPr>
            <w:r w:rsidRPr="00B3635C">
              <w:rPr>
                <w:rFonts w:ascii="Arial" w:hAnsi="Arial" w:cs="Arial"/>
                <w:b/>
                <w:bCs/>
                <w:color w:val="000000" w:themeColor="text1"/>
                <w:sz w:val="28"/>
                <w:szCs w:val="32"/>
              </w:rPr>
              <w:t xml:space="preserve">Mission </w:t>
            </w:r>
            <w:r w:rsidR="004955CB">
              <w:rPr>
                <w:rFonts w:ascii="Arial" w:hAnsi="Arial" w:cs="Arial"/>
                <w:b/>
                <w:bCs/>
                <w:color w:val="000000" w:themeColor="text1"/>
                <w:sz w:val="28"/>
                <w:szCs w:val="32"/>
              </w:rPr>
              <w:t>3</w:t>
            </w:r>
            <w:r w:rsidRPr="00B3635C">
              <w:rPr>
                <w:rFonts w:ascii="Arial" w:hAnsi="Arial" w:cs="Arial"/>
                <w:b/>
                <w:bCs/>
                <w:color w:val="000000" w:themeColor="text1"/>
                <w:sz w:val="28"/>
                <w:szCs w:val="32"/>
              </w:rPr>
              <w:t xml:space="preserve"> – Suivre les contrats d’assurance</w:t>
            </w:r>
          </w:p>
        </w:tc>
        <w:tc>
          <w:tcPr>
            <w:tcW w:w="1781" w:type="dxa"/>
            <w:shd w:val="clear" w:color="auto" w:fill="92D050"/>
          </w:tcPr>
          <w:p w14:paraId="04071E76" w14:textId="77777777" w:rsidR="00A2143D" w:rsidRPr="009C64F3" w:rsidRDefault="00A2143D" w:rsidP="002E20CE">
            <w:pPr>
              <w:pStyle w:val="Titre3"/>
              <w:rPr>
                <w:sz w:val="28"/>
              </w:rPr>
            </w:pPr>
            <w:r>
              <w:rPr>
                <w:noProof/>
              </w:rPr>
              <w:drawing>
                <wp:inline distT="0" distB="0" distL="0" distR="0" wp14:anchorId="7FAA7406" wp14:editId="148CAB7F">
                  <wp:extent cx="1057092" cy="684000"/>
                  <wp:effectExtent l="0" t="0" r="0" b="1905"/>
                  <wp:docPr id="13" name="Image 13"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7092" cy="684000"/>
                          </a:xfrm>
                          <a:prstGeom prst="rect">
                            <a:avLst/>
                          </a:prstGeom>
                        </pic:spPr>
                      </pic:pic>
                    </a:graphicData>
                  </a:graphic>
                </wp:inline>
              </w:drawing>
            </w:r>
          </w:p>
        </w:tc>
      </w:tr>
      <w:tr w:rsidR="00A2143D" w:rsidRPr="002A26A7" w14:paraId="3937DABC" w14:textId="77777777" w:rsidTr="002E20CE">
        <w:trPr>
          <w:trHeight w:val="504"/>
        </w:trPr>
        <w:tc>
          <w:tcPr>
            <w:tcW w:w="1272" w:type="dxa"/>
            <w:shd w:val="clear" w:color="auto" w:fill="92D050"/>
            <w:vAlign w:val="center"/>
          </w:tcPr>
          <w:p w14:paraId="44102DC7" w14:textId="34B4BC54" w:rsidR="00A2143D" w:rsidRPr="008D1343" w:rsidRDefault="00A2143D" w:rsidP="002E20CE">
            <w:pPr>
              <w:rPr>
                <w:rFonts w:cs="Arial"/>
                <w:bCs/>
                <w:iCs/>
                <w:color w:val="000000" w:themeColor="text1"/>
              </w:rPr>
            </w:pPr>
            <w:r w:rsidRPr="008D1343">
              <w:rPr>
                <w:rFonts w:cs="Arial"/>
                <w:bCs/>
                <w:iCs/>
                <w:color w:val="000000" w:themeColor="text1"/>
              </w:rPr>
              <w:t xml:space="preserve">Durée : </w:t>
            </w:r>
            <w:r w:rsidR="00E7082C">
              <w:rPr>
                <w:rFonts w:cs="Arial"/>
                <w:bCs/>
                <w:iCs/>
                <w:color w:val="000000" w:themeColor="text1"/>
              </w:rPr>
              <w:t>1 h</w:t>
            </w:r>
            <w:r>
              <w:rPr>
                <w:rFonts w:cs="Arial"/>
                <w:bCs/>
                <w:iCs/>
                <w:color w:val="000000" w:themeColor="text1"/>
              </w:rPr>
              <w:t xml:space="preserve"> </w:t>
            </w:r>
          </w:p>
        </w:tc>
        <w:tc>
          <w:tcPr>
            <w:tcW w:w="6946" w:type="dxa"/>
            <w:shd w:val="clear" w:color="auto" w:fill="92D050"/>
            <w:vAlign w:val="center"/>
          </w:tcPr>
          <w:p w14:paraId="3BB91578" w14:textId="4E092F1F" w:rsidR="00A2143D" w:rsidRPr="002A26A7" w:rsidRDefault="00747C57" w:rsidP="002E20CE">
            <w:pPr>
              <w:jc w:val="center"/>
              <w:rPr>
                <w:rFonts w:cs="Arial"/>
                <w:color w:val="000000" w:themeColor="text1"/>
              </w:rPr>
            </w:pPr>
            <w:r>
              <w:rPr>
                <w:i/>
                <w:noProof/>
              </w:rPr>
              <w:drawing>
                <wp:inline distT="0" distB="0" distL="0" distR="0" wp14:anchorId="07DEF27F" wp14:editId="5B0AF295">
                  <wp:extent cx="325120" cy="325120"/>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2"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5755" cy="325755"/>
                          </a:xfrm>
                          <a:prstGeom prst="rect">
                            <a:avLst/>
                          </a:prstGeom>
                        </pic:spPr>
                      </pic:pic>
                    </a:graphicData>
                  </a:graphic>
                </wp:inline>
              </w:drawing>
            </w:r>
            <w:r>
              <w:rPr>
                <w:i/>
              </w:rPr>
              <w:t xml:space="preserve">ou </w:t>
            </w:r>
            <w:r>
              <w:rPr>
                <w:i/>
                <w:noProof/>
              </w:rPr>
              <w:drawing>
                <wp:inline distT="0" distB="0" distL="0" distR="0" wp14:anchorId="0F099D26" wp14:editId="1AEF6C58">
                  <wp:extent cx="368300" cy="36830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1"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5760" cy="365760"/>
                          </a:xfrm>
                          <a:prstGeom prst="rect">
                            <a:avLst/>
                          </a:prstGeom>
                        </pic:spPr>
                      </pic:pic>
                    </a:graphicData>
                  </a:graphic>
                </wp:inline>
              </w:drawing>
            </w:r>
          </w:p>
        </w:tc>
        <w:tc>
          <w:tcPr>
            <w:tcW w:w="1781" w:type="dxa"/>
            <w:shd w:val="clear" w:color="auto" w:fill="92D050"/>
            <w:vAlign w:val="center"/>
          </w:tcPr>
          <w:p w14:paraId="46795ED5" w14:textId="77777777" w:rsidR="00A2143D" w:rsidRPr="002A26A7" w:rsidRDefault="00A2143D" w:rsidP="002E20CE">
            <w:pPr>
              <w:jc w:val="center"/>
              <w:rPr>
                <w:rFonts w:cs="Arial"/>
                <w:color w:val="000000" w:themeColor="text1"/>
              </w:rPr>
            </w:pPr>
            <w:r w:rsidRPr="002A26A7">
              <w:rPr>
                <w:rFonts w:cs="Arial"/>
                <w:color w:val="000000" w:themeColor="text1"/>
              </w:rPr>
              <w:t>Source</w:t>
            </w:r>
          </w:p>
        </w:tc>
      </w:tr>
    </w:tbl>
    <w:p w14:paraId="0BF32BB8" w14:textId="77777777" w:rsidR="008B0AB2" w:rsidRPr="008B0AB2" w:rsidRDefault="008B0AB2" w:rsidP="008B0AB2">
      <w:pPr>
        <w:pStyle w:val="Titre3"/>
        <w:spacing w:before="240" w:after="120"/>
        <w:rPr>
          <w:rFonts w:ascii="Arial" w:hAnsi="Arial" w:cs="Arial"/>
          <w:b/>
          <w:bCs/>
          <w:noProof/>
        </w:rPr>
      </w:pPr>
      <w:r w:rsidRPr="008B0AB2">
        <w:rPr>
          <w:rFonts w:ascii="Arial" w:hAnsi="Arial" w:cs="Arial"/>
          <w:b/>
          <w:bCs/>
          <w:noProof/>
        </w:rPr>
        <w:t>Contexte professionnel</w:t>
      </w:r>
    </w:p>
    <w:p w14:paraId="0AE0DA89" w14:textId="77777777" w:rsidR="008B0AB2" w:rsidRPr="008B0AB2" w:rsidRDefault="008B0AB2" w:rsidP="008B0AB2">
      <w:pPr>
        <w:rPr>
          <w:rFonts w:cs="Arial"/>
          <w:sz w:val="20"/>
          <w:szCs w:val="20"/>
          <w:lang w:eastAsia="fr-FR"/>
        </w:rPr>
      </w:pPr>
      <w:r w:rsidRPr="008B0AB2">
        <w:rPr>
          <w:noProof/>
          <w:sz w:val="20"/>
          <w:szCs w:val="20"/>
        </w:rPr>
        <w:t xml:space="preserve">M. Tardy vous associe à la remise à plat de certains contrats d’assurance qu’il trouve trop chers. </w:t>
      </w:r>
      <w:r w:rsidRPr="008B0AB2">
        <w:rPr>
          <w:rFonts w:cs="Arial"/>
          <w:sz w:val="20"/>
          <w:szCs w:val="20"/>
          <w:lang w:eastAsia="fr-FR"/>
        </w:rPr>
        <w:t>Il vous remet le contrat d’assurance actuel souscrit auprès de la société AXA afin de le comparer avec une proposition de la société Generali. Vous devez analyser ces deux contrats afin de lui donner des arguments pour une renégociation à venir.</w:t>
      </w:r>
      <w:r w:rsidRPr="008B0AB2">
        <w:rPr>
          <w:noProof/>
          <w:sz w:val="20"/>
          <w:szCs w:val="20"/>
        </w:rPr>
        <w:t xml:space="preserve"> </w:t>
      </w:r>
    </w:p>
    <w:p w14:paraId="6F2C5F15" w14:textId="77777777" w:rsidR="008B0AB2" w:rsidRPr="008B0AB2" w:rsidRDefault="008B0AB2" w:rsidP="008B0AB2">
      <w:pPr>
        <w:pStyle w:val="Titre3"/>
        <w:spacing w:before="240" w:after="120"/>
        <w:rPr>
          <w:rFonts w:ascii="Arial" w:hAnsi="Arial" w:cs="Arial"/>
          <w:b/>
          <w:bCs/>
          <w:noProof/>
        </w:rPr>
      </w:pPr>
      <w:r w:rsidRPr="008B0AB2">
        <w:rPr>
          <w:rFonts w:ascii="Arial" w:hAnsi="Arial" w:cs="Arial"/>
          <w:b/>
          <w:bCs/>
          <w:noProof/>
        </w:rPr>
        <w:t>Travail à faire</w:t>
      </w:r>
    </w:p>
    <w:p w14:paraId="14489401" w14:textId="77777777" w:rsidR="008B0AB2" w:rsidRPr="008B0AB2" w:rsidRDefault="008B0AB2" w:rsidP="008B0AB2">
      <w:pPr>
        <w:pStyle w:val="Paragraphedeliste"/>
        <w:numPr>
          <w:ilvl w:val="0"/>
          <w:numId w:val="12"/>
        </w:numPr>
        <w:autoSpaceDE w:val="0"/>
        <w:autoSpaceDN w:val="0"/>
        <w:adjustRightInd w:val="0"/>
        <w:rPr>
          <w:rFonts w:cs="Arial"/>
          <w:sz w:val="20"/>
          <w:szCs w:val="20"/>
          <w:lang w:eastAsia="fr-FR"/>
        </w:rPr>
      </w:pPr>
      <w:bookmarkStart w:id="0" w:name="_Hlk87209009"/>
      <w:bookmarkStart w:id="1" w:name="_Hlk87208898"/>
      <w:r w:rsidRPr="008B0AB2">
        <w:rPr>
          <w:rFonts w:cs="Arial"/>
          <w:sz w:val="20"/>
          <w:szCs w:val="20"/>
          <w:lang w:eastAsia="fr-FR"/>
        </w:rPr>
        <w:t>Comparez la proposition de Generali avec le contrat actuel AXA et faites part de vos commentaires à M. Tardy (</w:t>
      </w:r>
      <w:r w:rsidRPr="008B0AB2">
        <w:rPr>
          <w:rFonts w:cs="Arial"/>
          <w:b/>
          <w:bCs/>
          <w:sz w:val="20"/>
          <w:szCs w:val="20"/>
          <w:lang w:eastAsia="fr-FR"/>
        </w:rPr>
        <w:t xml:space="preserve">documents 1 </w:t>
      </w:r>
      <w:r w:rsidRPr="008B0AB2">
        <w:rPr>
          <w:rFonts w:cs="Arial"/>
          <w:sz w:val="20"/>
          <w:szCs w:val="20"/>
          <w:lang w:eastAsia="fr-FR"/>
        </w:rPr>
        <w:t>et</w:t>
      </w:r>
      <w:r w:rsidRPr="008B0AB2">
        <w:rPr>
          <w:rFonts w:cs="Arial"/>
          <w:b/>
          <w:bCs/>
          <w:sz w:val="20"/>
          <w:szCs w:val="20"/>
          <w:lang w:eastAsia="fr-FR"/>
        </w:rPr>
        <w:t xml:space="preserve"> 2</w:t>
      </w:r>
      <w:r w:rsidRPr="008B0AB2">
        <w:rPr>
          <w:rFonts w:cs="Arial"/>
          <w:sz w:val="20"/>
          <w:szCs w:val="20"/>
          <w:lang w:eastAsia="fr-FR"/>
        </w:rPr>
        <w:t>).</w:t>
      </w:r>
    </w:p>
    <w:bookmarkEnd w:id="0"/>
    <w:p w14:paraId="3F62A914" w14:textId="77777777" w:rsidR="008B0AB2" w:rsidRPr="008B0AB2" w:rsidRDefault="008B0AB2" w:rsidP="008B0AB2">
      <w:pPr>
        <w:pStyle w:val="Paragraphedeliste"/>
        <w:numPr>
          <w:ilvl w:val="0"/>
          <w:numId w:val="12"/>
        </w:numPr>
        <w:spacing w:before="120"/>
        <w:ind w:left="426" w:hanging="426"/>
        <w:rPr>
          <w:rFonts w:cs="Arial"/>
          <w:noProof/>
          <w:sz w:val="20"/>
          <w:szCs w:val="20"/>
        </w:rPr>
      </w:pPr>
      <w:r w:rsidRPr="008B0AB2">
        <w:rPr>
          <w:rFonts w:cs="Arial"/>
          <w:noProof/>
          <w:sz w:val="20"/>
          <w:szCs w:val="20"/>
        </w:rPr>
        <w:t>Concevez un tableau qui récapitule les différents contrats souscrits par l’entreprise et qui permette un suivi des échéances de règlement.</w:t>
      </w:r>
    </w:p>
    <w:bookmarkEnd w:id="1"/>
    <w:p w14:paraId="7CDCDAF1" w14:textId="1CDFDC9A" w:rsidR="00C12E61" w:rsidRPr="0020338B" w:rsidRDefault="00C12E61" w:rsidP="00C12E61">
      <w:pPr>
        <w:spacing w:before="360" w:after="120"/>
        <w:jc w:val="left"/>
        <w:rPr>
          <w:rFonts w:cs="Arial"/>
          <w:b/>
          <w:sz w:val="16"/>
          <w:szCs w:val="18"/>
        </w:rPr>
      </w:pPr>
      <w:r w:rsidRPr="0020338B">
        <w:rPr>
          <w:rFonts w:cs="Arial"/>
          <w:b/>
          <w:color w:val="FFFFFF" w:themeColor="background1"/>
          <w:sz w:val="24"/>
          <w:szCs w:val="18"/>
          <w:highlight w:val="red"/>
        </w:rPr>
        <w:t>Doc. 1 </w:t>
      </w:r>
      <w:r>
        <w:rPr>
          <w:rFonts w:cs="Arial"/>
          <w:b/>
          <w:color w:val="FFFFFF" w:themeColor="background1"/>
          <w:sz w:val="24"/>
          <w:szCs w:val="18"/>
        </w:rPr>
        <w:t xml:space="preserve"> </w:t>
      </w:r>
      <w:r>
        <w:rPr>
          <w:rFonts w:cs="Arial"/>
          <w:b/>
          <w:sz w:val="24"/>
          <w:szCs w:val="18"/>
        </w:rPr>
        <w:t>Contrat multirisque Generali</w:t>
      </w:r>
    </w:p>
    <w:tbl>
      <w:tblPr>
        <w:tblStyle w:val="Grilledutableau"/>
        <w:tblW w:w="9918" w:type="dxa"/>
        <w:shd w:val="clear" w:color="auto" w:fill="EDEDED" w:themeFill="accent3" w:themeFillTint="33"/>
        <w:tblLook w:val="04A0" w:firstRow="1" w:lastRow="0" w:firstColumn="1" w:lastColumn="0" w:noHBand="0" w:noVBand="1"/>
      </w:tblPr>
      <w:tblGrid>
        <w:gridCol w:w="8359"/>
        <w:gridCol w:w="1559"/>
      </w:tblGrid>
      <w:tr w:rsidR="00C12E61" w:rsidRPr="009032B0" w14:paraId="6405C671" w14:textId="77777777" w:rsidTr="008B0AB2">
        <w:tc>
          <w:tcPr>
            <w:tcW w:w="8359" w:type="dxa"/>
            <w:shd w:val="clear" w:color="auto" w:fill="EDEDED" w:themeFill="accent3" w:themeFillTint="33"/>
            <w:vAlign w:val="center"/>
          </w:tcPr>
          <w:p w14:paraId="3FC84497" w14:textId="77777777" w:rsidR="00C12E61" w:rsidRPr="009E2E4F" w:rsidRDefault="00C12E61" w:rsidP="004C3BBF">
            <w:pPr>
              <w:spacing w:before="120" w:after="120"/>
              <w:jc w:val="center"/>
              <w:rPr>
                <w:rFonts w:cs="Arial"/>
                <w:b/>
                <w:sz w:val="26"/>
              </w:rPr>
            </w:pPr>
            <w:r w:rsidRPr="009E2E4F">
              <w:rPr>
                <w:rFonts w:cs="Arial"/>
                <w:b/>
                <w:sz w:val="26"/>
              </w:rPr>
              <w:t>Proposition de contrat multirisque professionnel</w:t>
            </w:r>
          </w:p>
        </w:tc>
        <w:tc>
          <w:tcPr>
            <w:tcW w:w="1559" w:type="dxa"/>
            <w:shd w:val="clear" w:color="auto" w:fill="EDEDED" w:themeFill="accent3" w:themeFillTint="33"/>
            <w:vAlign w:val="center"/>
          </w:tcPr>
          <w:p w14:paraId="00FC2435" w14:textId="77777777" w:rsidR="00C12E61" w:rsidRPr="00E53210" w:rsidRDefault="00C12E61" w:rsidP="004C3BBF">
            <w:pPr>
              <w:spacing w:before="120" w:after="120"/>
              <w:jc w:val="center"/>
              <w:rPr>
                <w:rFonts w:cs="Arial"/>
                <w:b/>
                <w:sz w:val="30"/>
              </w:rPr>
            </w:pPr>
            <w:r>
              <w:rPr>
                <w:rFonts w:cs="Arial"/>
                <w:b/>
                <w:noProof/>
                <w:sz w:val="30"/>
              </w:rPr>
              <w:drawing>
                <wp:inline distT="0" distB="0" distL="0" distR="0" wp14:anchorId="317ADED5" wp14:editId="51C36B24">
                  <wp:extent cx="828000" cy="671523"/>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000" cy="671523"/>
                          </a:xfrm>
                          <a:prstGeom prst="rect">
                            <a:avLst/>
                          </a:prstGeom>
                        </pic:spPr>
                      </pic:pic>
                    </a:graphicData>
                  </a:graphic>
                </wp:inline>
              </w:drawing>
            </w:r>
          </w:p>
        </w:tc>
      </w:tr>
      <w:tr w:rsidR="00C12E61" w:rsidRPr="009032B0" w14:paraId="668F6427" w14:textId="77777777" w:rsidTr="008B0AB2">
        <w:tc>
          <w:tcPr>
            <w:tcW w:w="9918" w:type="dxa"/>
            <w:gridSpan w:val="2"/>
            <w:shd w:val="clear" w:color="auto" w:fill="EDEDED" w:themeFill="accent3" w:themeFillTint="33"/>
            <w:vAlign w:val="center"/>
          </w:tcPr>
          <w:p w14:paraId="4C9AB7F1" w14:textId="77777777" w:rsidR="00C12E61" w:rsidRPr="009032B0" w:rsidRDefault="00C12E61" w:rsidP="004C3BBF">
            <w:pPr>
              <w:spacing w:before="120" w:after="120"/>
              <w:jc w:val="center"/>
              <w:rPr>
                <w:rFonts w:cs="Arial"/>
                <w:b/>
              </w:rPr>
            </w:pPr>
            <w:r w:rsidRPr="009032B0">
              <w:rPr>
                <w:rFonts w:cs="Arial"/>
                <w:b/>
              </w:rPr>
              <w:t>Nature des garantie</w:t>
            </w:r>
            <w:r>
              <w:rPr>
                <w:rFonts w:cs="Arial"/>
                <w:b/>
              </w:rPr>
              <w:t>s</w:t>
            </w:r>
          </w:p>
        </w:tc>
      </w:tr>
      <w:tr w:rsidR="00C12E61" w:rsidRPr="00F264F4" w14:paraId="45E3D7EE" w14:textId="77777777" w:rsidTr="008B0AB2">
        <w:tc>
          <w:tcPr>
            <w:tcW w:w="9918" w:type="dxa"/>
            <w:gridSpan w:val="2"/>
            <w:shd w:val="clear" w:color="auto" w:fill="EDEDED" w:themeFill="accent3" w:themeFillTint="33"/>
            <w:vAlign w:val="center"/>
          </w:tcPr>
          <w:p w14:paraId="26021093" w14:textId="77777777" w:rsidR="00C12E61" w:rsidRPr="00593941" w:rsidRDefault="00C12E61" w:rsidP="004C3BBF">
            <w:pPr>
              <w:spacing w:before="120" w:line="276" w:lineRule="auto"/>
              <w:jc w:val="left"/>
              <w:rPr>
                <w:rFonts w:cs="Arial"/>
                <w:b/>
              </w:rPr>
            </w:pPr>
            <w:r w:rsidRPr="00593941">
              <w:rPr>
                <w:rFonts w:cs="Arial"/>
                <w:b/>
              </w:rPr>
              <w:t>Assurance des biens</w:t>
            </w:r>
          </w:p>
          <w:p w14:paraId="38429A2A" w14:textId="77777777" w:rsidR="00C12E61" w:rsidRPr="00593941" w:rsidRDefault="00C12E61" w:rsidP="00C12E61">
            <w:pPr>
              <w:pStyle w:val="Paragraphedeliste"/>
              <w:numPr>
                <w:ilvl w:val="0"/>
                <w:numId w:val="4"/>
              </w:numPr>
              <w:spacing w:line="276" w:lineRule="auto"/>
              <w:jc w:val="left"/>
              <w:rPr>
                <w:rFonts w:cs="Arial"/>
              </w:rPr>
            </w:pPr>
            <w:r w:rsidRPr="00593941">
              <w:rPr>
                <w:rFonts w:cs="Arial"/>
              </w:rPr>
              <w:t>Incendie, explosion, dégât des eaux, tem</w:t>
            </w:r>
            <w:r>
              <w:rPr>
                <w:rFonts w:cs="Arial"/>
              </w:rPr>
              <w:t>pête, grêle, dommage électrique : 2 300 000 € (franchise : 0 €)</w:t>
            </w:r>
          </w:p>
          <w:p w14:paraId="6E211106" w14:textId="77777777" w:rsidR="00C12E61" w:rsidRPr="00593941" w:rsidRDefault="00C12E61" w:rsidP="00C12E61">
            <w:pPr>
              <w:pStyle w:val="Paragraphedeliste"/>
              <w:numPr>
                <w:ilvl w:val="0"/>
                <w:numId w:val="4"/>
              </w:numPr>
              <w:spacing w:line="276" w:lineRule="auto"/>
              <w:jc w:val="left"/>
              <w:rPr>
                <w:rFonts w:cs="Arial"/>
              </w:rPr>
            </w:pPr>
            <w:r w:rsidRPr="00593941">
              <w:rPr>
                <w:rFonts w:cs="Arial"/>
              </w:rPr>
              <w:t>Vol vandalisme avec protection des locaux</w:t>
            </w:r>
            <w:r>
              <w:rPr>
                <w:rFonts w:cs="Arial"/>
              </w:rPr>
              <w:t> : 600 000 € (franchise 5 000 €)</w:t>
            </w:r>
          </w:p>
          <w:p w14:paraId="0597163C" w14:textId="77777777" w:rsidR="00C12E61" w:rsidRPr="00593941" w:rsidRDefault="00C12E61" w:rsidP="00C12E61">
            <w:pPr>
              <w:pStyle w:val="Paragraphedeliste"/>
              <w:numPr>
                <w:ilvl w:val="0"/>
                <w:numId w:val="4"/>
              </w:numPr>
              <w:spacing w:line="276" w:lineRule="auto"/>
              <w:jc w:val="left"/>
              <w:rPr>
                <w:rFonts w:cs="Arial"/>
              </w:rPr>
            </w:pPr>
            <w:r w:rsidRPr="00593941">
              <w:rPr>
                <w:rFonts w:cs="Arial"/>
              </w:rPr>
              <w:t>Bris de machine (valeur d’usage)</w:t>
            </w:r>
            <w:r>
              <w:rPr>
                <w:rFonts w:cs="Arial"/>
              </w:rPr>
              <w:t> : 100 000 € / an (franchise 5 000 €)</w:t>
            </w:r>
          </w:p>
          <w:p w14:paraId="103CA370" w14:textId="77777777" w:rsidR="00C12E61" w:rsidRPr="00593941" w:rsidRDefault="00C12E61" w:rsidP="00C12E61">
            <w:pPr>
              <w:pStyle w:val="Paragraphedeliste"/>
              <w:numPr>
                <w:ilvl w:val="0"/>
                <w:numId w:val="4"/>
              </w:numPr>
              <w:spacing w:line="276" w:lineRule="auto"/>
              <w:jc w:val="left"/>
              <w:rPr>
                <w:rFonts w:cs="Arial"/>
              </w:rPr>
            </w:pPr>
            <w:r w:rsidRPr="00593941">
              <w:rPr>
                <w:rFonts w:cs="Arial"/>
              </w:rPr>
              <w:t>Transport de marchandises</w:t>
            </w:r>
            <w:r>
              <w:rPr>
                <w:rFonts w:cs="Arial"/>
              </w:rPr>
              <w:t> : 25 000 € / an (franchise 5 000 €)</w:t>
            </w:r>
          </w:p>
          <w:p w14:paraId="0156B68A" w14:textId="77777777" w:rsidR="00C12E61" w:rsidRDefault="00C12E61" w:rsidP="00C12E61">
            <w:pPr>
              <w:pStyle w:val="Paragraphedeliste"/>
              <w:numPr>
                <w:ilvl w:val="0"/>
                <w:numId w:val="4"/>
              </w:numPr>
              <w:spacing w:line="276" w:lineRule="auto"/>
              <w:jc w:val="left"/>
              <w:rPr>
                <w:rFonts w:cs="Arial"/>
              </w:rPr>
            </w:pPr>
            <w:r w:rsidRPr="00593941">
              <w:rPr>
                <w:rFonts w:cs="Arial"/>
              </w:rPr>
              <w:t>Véhicule déplacement personne</w:t>
            </w:r>
            <w:r>
              <w:rPr>
                <w:rFonts w:cs="Arial"/>
              </w:rPr>
              <w:t> : 50 000 € (franchise : 0 €)</w:t>
            </w:r>
          </w:p>
          <w:p w14:paraId="76A57E1B" w14:textId="77777777" w:rsidR="00C12E61" w:rsidRPr="003109C4" w:rsidRDefault="00C12E61" w:rsidP="00C12E61">
            <w:pPr>
              <w:pStyle w:val="Paragraphedeliste"/>
              <w:numPr>
                <w:ilvl w:val="0"/>
                <w:numId w:val="4"/>
              </w:numPr>
              <w:spacing w:line="276" w:lineRule="auto"/>
              <w:jc w:val="left"/>
              <w:rPr>
                <w:rFonts w:cs="Arial"/>
              </w:rPr>
            </w:pPr>
            <w:r w:rsidRPr="003109C4">
              <w:rPr>
                <w:rFonts w:cs="Arial"/>
              </w:rPr>
              <w:t>Véhicule déplacement marchandises : 50 000 € (franchise : 0 €)</w:t>
            </w:r>
          </w:p>
        </w:tc>
      </w:tr>
      <w:tr w:rsidR="00C12E61" w:rsidRPr="00B11670" w14:paraId="3A3799F2" w14:textId="77777777" w:rsidTr="008B0AB2">
        <w:trPr>
          <w:trHeight w:val="569"/>
        </w:trPr>
        <w:tc>
          <w:tcPr>
            <w:tcW w:w="9918" w:type="dxa"/>
            <w:gridSpan w:val="2"/>
            <w:shd w:val="clear" w:color="auto" w:fill="EDEDED" w:themeFill="accent3" w:themeFillTint="33"/>
            <w:vAlign w:val="center"/>
          </w:tcPr>
          <w:p w14:paraId="50DFB015" w14:textId="77777777" w:rsidR="00C12E61" w:rsidRPr="00F264F4" w:rsidRDefault="00C12E61" w:rsidP="004C3BBF">
            <w:pPr>
              <w:spacing w:before="120" w:line="276" w:lineRule="auto"/>
              <w:jc w:val="left"/>
              <w:rPr>
                <w:rFonts w:cs="Arial"/>
                <w:b/>
              </w:rPr>
            </w:pPr>
            <w:r w:rsidRPr="00F264F4">
              <w:rPr>
                <w:rFonts w:cs="Arial"/>
                <w:b/>
              </w:rPr>
              <w:t xml:space="preserve">Assurance des responsabilités </w:t>
            </w:r>
          </w:p>
          <w:p w14:paraId="307301AD" w14:textId="77777777" w:rsidR="00C12E61" w:rsidRDefault="00C12E61" w:rsidP="004C3BBF">
            <w:pPr>
              <w:spacing w:line="276" w:lineRule="auto"/>
              <w:jc w:val="left"/>
              <w:rPr>
                <w:rFonts w:cs="Arial"/>
              </w:rPr>
            </w:pPr>
            <w:r>
              <w:rPr>
                <w:rFonts w:cs="Arial"/>
              </w:rPr>
              <w:t xml:space="preserve">Dommage corporel, matériels, et immatériels </w:t>
            </w:r>
          </w:p>
          <w:p w14:paraId="471420D7" w14:textId="77777777" w:rsidR="00C12E61" w:rsidRDefault="00C12E61" w:rsidP="00C12E61">
            <w:pPr>
              <w:pStyle w:val="Paragraphedeliste"/>
              <w:numPr>
                <w:ilvl w:val="0"/>
                <w:numId w:val="5"/>
              </w:numPr>
              <w:spacing w:line="276" w:lineRule="auto"/>
              <w:jc w:val="left"/>
              <w:rPr>
                <w:rFonts w:cs="Arial"/>
              </w:rPr>
            </w:pPr>
            <w:r>
              <w:rPr>
                <w:rFonts w:cs="Arial"/>
              </w:rPr>
              <w:t>Faute inexcusable : 8 000 000 € (franchise 0)</w:t>
            </w:r>
          </w:p>
          <w:p w14:paraId="6A3CAD85" w14:textId="77777777" w:rsidR="00C12E61" w:rsidRDefault="00C12E61" w:rsidP="00C12E61">
            <w:pPr>
              <w:pStyle w:val="Paragraphedeliste"/>
              <w:numPr>
                <w:ilvl w:val="0"/>
                <w:numId w:val="5"/>
              </w:numPr>
              <w:spacing w:line="276" w:lineRule="auto"/>
              <w:jc w:val="left"/>
              <w:rPr>
                <w:rFonts w:cs="Arial"/>
              </w:rPr>
            </w:pPr>
            <w:r>
              <w:rPr>
                <w:rFonts w:cs="Arial"/>
              </w:rPr>
              <w:t>Dommage matériel et immatériels : 2 000 000 € (franchise 0)</w:t>
            </w:r>
          </w:p>
          <w:p w14:paraId="34D9CA38" w14:textId="77777777" w:rsidR="00C12E61" w:rsidRDefault="00C12E61" w:rsidP="00C12E61">
            <w:pPr>
              <w:pStyle w:val="Paragraphedeliste"/>
              <w:numPr>
                <w:ilvl w:val="0"/>
                <w:numId w:val="5"/>
              </w:numPr>
              <w:spacing w:line="276" w:lineRule="auto"/>
              <w:jc w:val="left"/>
              <w:rPr>
                <w:rFonts w:cs="Arial"/>
              </w:rPr>
            </w:pPr>
            <w:r>
              <w:rPr>
                <w:rFonts w:cs="Arial"/>
              </w:rPr>
              <w:t>Responsabilité d’exploitation 2 000 000 € (franchise 0)</w:t>
            </w:r>
          </w:p>
          <w:p w14:paraId="222F8656" w14:textId="77777777" w:rsidR="00C12E61" w:rsidRDefault="00C12E61" w:rsidP="00C12E61">
            <w:pPr>
              <w:pStyle w:val="Paragraphedeliste"/>
              <w:numPr>
                <w:ilvl w:val="0"/>
                <w:numId w:val="5"/>
              </w:numPr>
              <w:spacing w:line="276" w:lineRule="auto"/>
              <w:jc w:val="left"/>
              <w:rPr>
                <w:rFonts w:cs="Arial"/>
              </w:rPr>
            </w:pPr>
            <w:r>
              <w:rPr>
                <w:rFonts w:cs="Arial"/>
              </w:rPr>
              <w:t xml:space="preserve">Dommages subis par les biens confiés, y compris les biens loués ou loués : 200 000 € </w:t>
            </w:r>
          </w:p>
          <w:p w14:paraId="1441495E" w14:textId="77777777" w:rsidR="00C12E61" w:rsidRPr="001E0804" w:rsidRDefault="00C12E61" w:rsidP="00C12E61">
            <w:pPr>
              <w:pStyle w:val="Paragraphedeliste"/>
              <w:numPr>
                <w:ilvl w:val="0"/>
                <w:numId w:val="5"/>
              </w:numPr>
              <w:spacing w:line="276" w:lineRule="auto"/>
              <w:ind w:left="348"/>
              <w:jc w:val="left"/>
              <w:rPr>
                <w:rFonts w:cs="Arial"/>
              </w:rPr>
            </w:pPr>
            <w:r w:rsidRPr="001E0804">
              <w:rPr>
                <w:rFonts w:cs="Arial"/>
              </w:rPr>
              <w:t>Dommages immatériels : 800 000 €</w:t>
            </w:r>
            <w:r>
              <w:rPr>
                <w:rFonts w:cs="Arial"/>
              </w:rPr>
              <w:t xml:space="preserve"> (Franchise 10 %)</w:t>
            </w:r>
          </w:p>
          <w:p w14:paraId="27A85080" w14:textId="77777777" w:rsidR="00C12E61" w:rsidRDefault="00C12E61" w:rsidP="00C12E61">
            <w:pPr>
              <w:pStyle w:val="Paragraphedeliste"/>
              <w:numPr>
                <w:ilvl w:val="0"/>
                <w:numId w:val="6"/>
              </w:numPr>
              <w:spacing w:line="276" w:lineRule="auto"/>
              <w:jc w:val="left"/>
              <w:rPr>
                <w:rFonts w:cs="Arial"/>
              </w:rPr>
            </w:pPr>
            <w:r>
              <w:rPr>
                <w:rFonts w:cs="Arial"/>
              </w:rPr>
              <w:t>Dommages causés par des atteintes environnementales 1 000 000 € (franchise 0 €)</w:t>
            </w:r>
          </w:p>
          <w:p w14:paraId="7F24FE8F" w14:textId="77777777" w:rsidR="00C12E61" w:rsidRDefault="00C12E61" w:rsidP="00C12E61">
            <w:pPr>
              <w:pStyle w:val="Paragraphedeliste"/>
              <w:numPr>
                <w:ilvl w:val="0"/>
                <w:numId w:val="6"/>
              </w:numPr>
              <w:spacing w:line="276" w:lineRule="auto"/>
              <w:jc w:val="left"/>
              <w:rPr>
                <w:rFonts w:cs="Arial"/>
              </w:rPr>
            </w:pPr>
            <w:r>
              <w:rPr>
                <w:rFonts w:cs="Arial"/>
              </w:rPr>
              <w:t>Dommage survenant après livraison/réception : 1 500 000 € (franchise 10 000 €)</w:t>
            </w:r>
          </w:p>
          <w:p w14:paraId="4946BFC4" w14:textId="77777777" w:rsidR="00C12E61" w:rsidRPr="003109C4" w:rsidRDefault="00C12E61" w:rsidP="00C12E61">
            <w:pPr>
              <w:pStyle w:val="Paragraphedeliste"/>
              <w:numPr>
                <w:ilvl w:val="0"/>
                <w:numId w:val="6"/>
              </w:numPr>
              <w:spacing w:line="276" w:lineRule="auto"/>
              <w:jc w:val="left"/>
              <w:rPr>
                <w:rFonts w:cs="Arial"/>
              </w:rPr>
            </w:pPr>
            <w:r>
              <w:rPr>
                <w:rFonts w:cs="Arial"/>
              </w:rPr>
              <w:t>Responsabilité médicale : 6 000 000 € (franchise Néant)</w:t>
            </w:r>
          </w:p>
        </w:tc>
      </w:tr>
      <w:tr w:rsidR="00C12E61" w:rsidRPr="00B11670" w14:paraId="2FE41A24" w14:textId="77777777" w:rsidTr="008B0AB2">
        <w:tc>
          <w:tcPr>
            <w:tcW w:w="9918" w:type="dxa"/>
            <w:gridSpan w:val="2"/>
            <w:shd w:val="clear" w:color="auto" w:fill="EDEDED" w:themeFill="accent3" w:themeFillTint="33"/>
            <w:vAlign w:val="center"/>
          </w:tcPr>
          <w:p w14:paraId="0219A74B" w14:textId="77777777" w:rsidR="00C12E61" w:rsidRPr="00F264F4" w:rsidRDefault="00C12E61" w:rsidP="004C3BBF">
            <w:pPr>
              <w:spacing w:before="120" w:line="276" w:lineRule="auto"/>
              <w:jc w:val="left"/>
              <w:rPr>
                <w:rFonts w:cs="Arial"/>
                <w:b/>
              </w:rPr>
            </w:pPr>
            <w:r w:rsidRPr="00F264F4">
              <w:rPr>
                <w:rFonts w:cs="Arial"/>
                <w:b/>
              </w:rPr>
              <w:t>Assurance protection juridique</w:t>
            </w:r>
          </w:p>
          <w:p w14:paraId="2D339B93" w14:textId="77777777" w:rsidR="00C12E61" w:rsidRPr="00B11670" w:rsidRDefault="00C12E61" w:rsidP="004C3BBF">
            <w:pPr>
              <w:spacing w:line="276" w:lineRule="auto"/>
              <w:jc w:val="left"/>
              <w:rPr>
                <w:rFonts w:cs="Arial"/>
              </w:rPr>
            </w:pPr>
            <w:r>
              <w:rPr>
                <w:rFonts w:cs="Arial"/>
              </w:rPr>
              <w:t>Recours et défense pénale : 60 000 €</w:t>
            </w:r>
          </w:p>
        </w:tc>
      </w:tr>
      <w:tr w:rsidR="00C12E61" w:rsidRPr="003109C4" w14:paraId="0C2CA61C" w14:textId="77777777" w:rsidTr="008B0AB2">
        <w:tc>
          <w:tcPr>
            <w:tcW w:w="9918" w:type="dxa"/>
            <w:gridSpan w:val="2"/>
            <w:shd w:val="clear" w:color="auto" w:fill="EDEDED" w:themeFill="accent3" w:themeFillTint="33"/>
            <w:vAlign w:val="center"/>
          </w:tcPr>
          <w:p w14:paraId="5CCBA959" w14:textId="77777777" w:rsidR="00C12E61" w:rsidRPr="003109C4" w:rsidRDefault="00C12E61" w:rsidP="004C3BBF">
            <w:pPr>
              <w:spacing w:before="120" w:after="120"/>
              <w:jc w:val="center"/>
              <w:rPr>
                <w:rFonts w:cs="Arial"/>
                <w:b/>
              </w:rPr>
            </w:pPr>
            <w:r>
              <w:rPr>
                <w:rFonts w:cs="Arial"/>
                <w:b/>
              </w:rPr>
              <w:t>Proposition de tarif annuel : 30</w:t>
            </w:r>
            <w:r w:rsidRPr="003109C4">
              <w:rPr>
                <w:rFonts w:cs="Arial"/>
                <w:b/>
              </w:rPr>
              <w:t> 000 €</w:t>
            </w:r>
          </w:p>
        </w:tc>
      </w:tr>
    </w:tbl>
    <w:p w14:paraId="27ED2D6E" w14:textId="77777777" w:rsidR="00C12E61" w:rsidRDefault="00C12E61" w:rsidP="00C12E61">
      <w:pPr>
        <w:pStyle w:val="Titre3"/>
        <w:ind w:left="360" w:hanging="360"/>
        <w:rPr>
          <w:noProof/>
        </w:rPr>
      </w:pPr>
    </w:p>
    <w:p w14:paraId="50F4A3B6" w14:textId="77777777" w:rsidR="00C12E61" w:rsidRDefault="00C12E61" w:rsidP="00C12E61">
      <w:pPr>
        <w:rPr>
          <w:lang w:eastAsia="fr-FR"/>
        </w:rPr>
      </w:pPr>
    </w:p>
    <w:p w14:paraId="54395349" w14:textId="77777777" w:rsidR="00C12E61" w:rsidRDefault="00C12E61" w:rsidP="00C12E61">
      <w:pPr>
        <w:rPr>
          <w:lang w:eastAsia="fr-FR"/>
        </w:rPr>
      </w:pPr>
    </w:p>
    <w:p w14:paraId="363CED03" w14:textId="77777777" w:rsidR="00C12E61" w:rsidRDefault="00C12E61" w:rsidP="00C12E61">
      <w:pPr>
        <w:rPr>
          <w:lang w:eastAsia="fr-FR"/>
        </w:rPr>
      </w:pPr>
    </w:p>
    <w:p w14:paraId="5A5D6F98" w14:textId="77777777" w:rsidR="00C12E61" w:rsidRDefault="00C12E61" w:rsidP="00C12E61">
      <w:pPr>
        <w:rPr>
          <w:lang w:eastAsia="fr-FR"/>
        </w:rPr>
      </w:pPr>
    </w:p>
    <w:p w14:paraId="4D8EFC73" w14:textId="77777777" w:rsidR="00C12E61" w:rsidRDefault="00C12E61" w:rsidP="00C12E61">
      <w:pPr>
        <w:rPr>
          <w:lang w:eastAsia="fr-FR"/>
        </w:rPr>
      </w:pPr>
    </w:p>
    <w:p w14:paraId="0177A6A4" w14:textId="3011BC1E" w:rsidR="00C12E61" w:rsidRPr="00D052F4" w:rsidRDefault="00C12E61" w:rsidP="00C12E61">
      <w:pPr>
        <w:spacing w:before="240" w:after="240"/>
        <w:jc w:val="left"/>
        <w:rPr>
          <w:b/>
          <w:sz w:val="28"/>
        </w:rPr>
      </w:pPr>
      <w:r w:rsidRPr="00433F11">
        <w:rPr>
          <w:b/>
          <w:color w:val="FFFFFF" w:themeColor="background1"/>
          <w:sz w:val="24"/>
          <w:szCs w:val="20"/>
          <w:highlight w:val="red"/>
        </w:rPr>
        <w:lastRenderedPageBreak/>
        <w:t>Doc. 2 </w:t>
      </w:r>
      <w:r w:rsidRPr="00433F11">
        <w:rPr>
          <w:b/>
          <w:color w:val="FFFFFF" w:themeColor="background1"/>
          <w:sz w:val="24"/>
          <w:szCs w:val="20"/>
        </w:rPr>
        <w:t xml:space="preserve"> </w:t>
      </w:r>
      <w:r w:rsidRPr="00D052F4">
        <w:rPr>
          <w:rFonts w:cs="Arial"/>
          <w:b/>
          <w:sz w:val="24"/>
          <w:szCs w:val="18"/>
        </w:rPr>
        <w:t xml:space="preserve">Contrat multirisque </w:t>
      </w:r>
      <w:r>
        <w:rPr>
          <w:rFonts w:cs="Arial"/>
          <w:b/>
          <w:sz w:val="24"/>
          <w:szCs w:val="18"/>
        </w:rPr>
        <w:t>AXA</w:t>
      </w:r>
    </w:p>
    <w:tbl>
      <w:tblPr>
        <w:tblStyle w:val="Grilledutableau"/>
        <w:tblW w:w="10267" w:type="dxa"/>
        <w:shd w:val="clear" w:color="auto" w:fill="C5E0B3" w:themeFill="accent6" w:themeFillTint="66"/>
        <w:tblLook w:val="04A0" w:firstRow="1" w:lastRow="0" w:firstColumn="1" w:lastColumn="0" w:noHBand="0" w:noVBand="1"/>
      </w:tblPr>
      <w:tblGrid>
        <w:gridCol w:w="6041"/>
        <w:gridCol w:w="2220"/>
        <w:gridCol w:w="2006"/>
      </w:tblGrid>
      <w:tr w:rsidR="00C12E61" w:rsidRPr="009032B0" w14:paraId="0595FCA1" w14:textId="77777777" w:rsidTr="008B0AB2">
        <w:tc>
          <w:tcPr>
            <w:tcW w:w="8261" w:type="dxa"/>
            <w:gridSpan w:val="2"/>
            <w:shd w:val="clear" w:color="auto" w:fill="E2EFD9" w:themeFill="accent6" w:themeFillTint="33"/>
            <w:vAlign w:val="center"/>
          </w:tcPr>
          <w:p w14:paraId="66409367" w14:textId="77777777" w:rsidR="00C12E61" w:rsidRPr="00D052F4" w:rsidRDefault="00C12E61" w:rsidP="004C3BBF">
            <w:pPr>
              <w:spacing w:before="120" w:after="120"/>
              <w:jc w:val="center"/>
              <w:rPr>
                <w:rFonts w:cs="Arial"/>
                <w:b/>
                <w:sz w:val="24"/>
                <w:szCs w:val="18"/>
              </w:rPr>
            </w:pPr>
            <w:r w:rsidRPr="00D052F4">
              <w:rPr>
                <w:rFonts w:cs="Arial"/>
                <w:b/>
                <w:sz w:val="24"/>
                <w:szCs w:val="18"/>
              </w:rPr>
              <w:t>Conditions générales contrat multirisque professionnel</w:t>
            </w:r>
          </w:p>
          <w:p w14:paraId="5663CE9A" w14:textId="77777777" w:rsidR="00C12E61" w:rsidRPr="00C632E5" w:rsidRDefault="00C12E61" w:rsidP="004C3BBF">
            <w:pPr>
              <w:spacing w:after="120"/>
              <w:jc w:val="center"/>
              <w:rPr>
                <w:rFonts w:cs="Arial"/>
                <w:sz w:val="28"/>
              </w:rPr>
            </w:pPr>
            <w:r w:rsidRPr="00C632E5">
              <w:rPr>
                <w:rFonts w:cs="Arial"/>
              </w:rPr>
              <w:t>Contrat N° 1456-75-2895 du 15/10/2005</w:t>
            </w:r>
          </w:p>
        </w:tc>
        <w:tc>
          <w:tcPr>
            <w:tcW w:w="2003" w:type="dxa"/>
            <w:shd w:val="clear" w:color="auto" w:fill="E2EFD9" w:themeFill="accent6" w:themeFillTint="33"/>
          </w:tcPr>
          <w:p w14:paraId="4DF9DCBC" w14:textId="77777777" w:rsidR="00C12E61" w:rsidRPr="009032B0" w:rsidRDefault="00C12E61" w:rsidP="004C3BBF">
            <w:pPr>
              <w:jc w:val="center"/>
              <w:rPr>
                <w:rFonts w:cs="Arial"/>
                <w:b/>
              </w:rPr>
            </w:pPr>
            <w:r>
              <w:rPr>
                <w:rFonts w:cs="Arial"/>
                <w:noProof/>
              </w:rPr>
              <w:drawing>
                <wp:inline distT="0" distB="0" distL="0" distR="0" wp14:anchorId="50F23525" wp14:editId="76EDA9F3">
                  <wp:extent cx="680484" cy="680484"/>
                  <wp:effectExtent l="0" t="0" r="5715" b="5715"/>
                  <wp:docPr id="18" name="Image 18" descr="http://www.assurance-guide.com/wordpress/wp-content/uploads/2013/03/ax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ssurance-guide.com/wordpress/wp-content/uploads/2013/03/axa-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9572" cy="709572"/>
                          </a:xfrm>
                          <a:prstGeom prst="rect">
                            <a:avLst/>
                          </a:prstGeom>
                          <a:noFill/>
                          <a:ln>
                            <a:noFill/>
                          </a:ln>
                        </pic:spPr>
                      </pic:pic>
                    </a:graphicData>
                  </a:graphic>
                </wp:inline>
              </w:drawing>
            </w:r>
          </w:p>
        </w:tc>
      </w:tr>
      <w:tr w:rsidR="00C12E61" w:rsidRPr="009032B0" w14:paraId="0BBC334B" w14:textId="77777777" w:rsidTr="008B0AB2">
        <w:tc>
          <w:tcPr>
            <w:tcW w:w="6041" w:type="dxa"/>
            <w:shd w:val="clear" w:color="auto" w:fill="E2EFD9" w:themeFill="accent6" w:themeFillTint="33"/>
            <w:vAlign w:val="center"/>
          </w:tcPr>
          <w:p w14:paraId="66096847" w14:textId="77777777" w:rsidR="00C12E61" w:rsidRPr="009032B0" w:rsidRDefault="00C12E61" w:rsidP="004C3BBF">
            <w:pPr>
              <w:jc w:val="center"/>
              <w:rPr>
                <w:rFonts w:cs="Arial"/>
                <w:b/>
              </w:rPr>
            </w:pPr>
            <w:r w:rsidRPr="009032B0">
              <w:rPr>
                <w:rFonts w:cs="Arial"/>
                <w:b/>
              </w:rPr>
              <w:t>Nature des garantie</w:t>
            </w:r>
            <w:r>
              <w:rPr>
                <w:rFonts w:cs="Arial"/>
                <w:b/>
              </w:rPr>
              <w:t>s</w:t>
            </w:r>
          </w:p>
        </w:tc>
        <w:tc>
          <w:tcPr>
            <w:tcW w:w="2220" w:type="dxa"/>
            <w:shd w:val="clear" w:color="auto" w:fill="E2EFD9" w:themeFill="accent6" w:themeFillTint="33"/>
            <w:vAlign w:val="center"/>
          </w:tcPr>
          <w:p w14:paraId="11F26A0D" w14:textId="77777777" w:rsidR="00C12E61" w:rsidRDefault="00C12E61" w:rsidP="004C3BBF">
            <w:pPr>
              <w:jc w:val="center"/>
              <w:rPr>
                <w:rFonts w:cs="Arial"/>
                <w:b/>
              </w:rPr>
            </w:pPr>
            <w:r w:rsidRPr="009032B0">
              <w:rPr>
                <w:rFonts w:cs="Arial"/>
                <w:b/>
              </w:rPr>
              <w:t>Montant des</w:t>
            </w:r>
          </w:p>
          <w:p w14:paraId="1BDB2AAC" w14:textId="77777777" w:rsidR="00C12E61" w:rsidRPr="009032B0" w:rsidRDefault="00C12E61" w:rsidP="004C3BBF">
            <w:pPr>
              <w:jc w:val="center"/>
              <w:rPr>
                <w:rFonts w:cs="Arial"/>
                <w:b/>
              </w:rPr>
            </w:pPr>
            <w:r w:rsidRPr="009032B0">
              <w:rPr>
                <w:rFonts w:cs="Arial"/>
                <w:b/>
              </w:rPr>
              <w:t>garanties par sinistre</w:t>
            </w:r>
          </w:p>
        </w:tc>
        <w:tc>
          <w:tcPr>
            <w:tcW w:w="2003" w:type="dxa"/>
            <w:shd w:val="clear" w:color="auto" w:fill="E2EFD9" w:themeFill="accent6" w:themeFillTint="33"/>
            <w:vAlign w:val="center"/>
          </w:tcPr>
          <w:p w14:paraId="4200D9EE" w14:textId="77777777" w:rsidR="00C12E61" w:rsidRDefault="00C12E61" w:rsidP="004C3BBF">
            <w:pPr>
              <w:jc w:val="center"/>
              <w:rPr>
                <w:rFonts w:cs="Arial"/>
                <w:b/>
              </w:rPr>
            </w:pPr>
            <w:r w:rsidRPr="009032B0">
              <w:rPr>
                <w:rFonts w:cs="Arial"/>
                <w:b/>
              </w:rPr>
              <w:t>Montant des</w:t>
            </w:r>
          </w:p>
          <w:p w14:paraId="35B56A4F" w14:textId="77777777" w:rsidR="00C12E61" w:rsidRPr="009032B0" w:rsidRDefault="00C12E61" w:rsidP="004C3BBF">
            <w:pPr>
              <w:jc w:val="center"/>
              <w:rPr>
                <w:rFonts w:cs="Arial"/>
                <w:b/>
              </w:rPr>
            </w:pPr>
            <w:r w:rsidRPr="009032B0">
              <w:rPr>
                <w:rFonts w:cs="Arial"/>
                <w:b/>
              </w:rPr>
              <w:t>franchises</w:t>
            </w:r>
          </w:p>
        </w:tc>
      </w:tr>
      <w:tr w:rsidR="00C12E61" w:rsidRPr="009032B0" w14:paraId="35D7810E" w14:textId="77777777" w:rsidTr="008B0AB2">
        <w:tc>
          <w:tcPr>
            <w:tcW w:w="6041" w:type="dxa"/>
            <w:shd w:val="clear" w:color="auto" w:fill="E2EFD9" w:themeFill="accent6" w:themeFillTint="33"/>
            <w:vAlign w:val="center"/>
          </w:tcPr>
          <w:p w14:paraId="4E086883" w14:textId="77777777" w:rsidR="00C12E61" w:rsidRPr="009032B0" w:rsidRDefault="00C12E61" w:rsidP="004C3BBF">
            <w:pPr>
              <w:spacing w:before="120"/>
              <w:jc w:val="left"/>
              <w:rPr>
                <w:rFonts w:cs="Arial"/>
                <w:b/>
              </w:rPr>
            </w:pPr>
            <w:r w:rsidRPr="00593941">
              <w:rPr>
                <w:rFonts w:cs="Arial"/>
                <w:b/>
              </w:rPr>
              <w:t>A – Assurance des biens</w:t>
            </w:r>
          </w:p>
        </w:tc>
        <w:tc>
          <w:tcPr>
            <w:tcW w:w="2220" w:type="dxa"/>
            <w:shd w:val="clear" w:color="auto" w:fill="E2EFD9" w:themeFill="accent6" w:themeFillTint="33"/>
          </w:tcPr>
          <w:p w14:paraId="339E4022" w14:textId="77777777" w:rsidR="00C12E61" w:rsidRPr="009032B0" w:rsidRDefault="00C12E61" w:rsidP="004C3BBF">
            <w:pPr>
              <w:spacing w:before="120"/>
              <w:jc w:val="center"/>
              <w:rPr>
                <w:rFonts w:cs="Arial"/>
                <w:b/>
              </w:rPr>
            </w:pPr>
          </w:p>
        </w:tc>
        <w:tc>
          <w:tcPr>
            <w:tcW w:w="2003" w:type="dxa"/>
            <w:shd w:val="clear" w:color="auto" w:fill="E2EFD9" w:themeFill="accent6" w:themeFillTint="33"/>
          </w:tcPr>
          <w:p w14:paraId="590F2A52" w14:textId="77777777" w:rsidR="00C12E61" w:rsidRPr="009032B0" w:rsidRDefault="00C12E61" w:rsidP="004C3BBF">
            <w:pPr>
              <w:spacing w:before="120"/>
              <w:jc w:val="center"/>
              <w:rPr>
                <w:rFonts w:cs="Arial"/>
                <w:b/>
              </w:rPr>
            </w:pPr>
          </w:p>
        </w:tc>
      </w:tr>
      <w:tr w:rsidR="00C12E61" w:rsidRPr="00F264F4" w14:paraId="55A5F731" w14:textId="77777777" w:rsidTr="008B0AB2">
        <w:tc>
          <w:tcPr>
            <w:tcW w:w="6041" w:type="dxa"/>
            <w:shd w:val="clear" w:color="auto" w:fill="E2EFD9" w:themeFill="accent6" w:themeFillTint="33"/>
            <w:vAlign w:val="center"/>
          </w:tcPr>
          <w:p w14:paraId="277EB3D4" w14:textId="77777777" w:rsidR="00C12E61" w:rsidRPr="007C2998" w:rsidRDefault="00C12E61" w:rsidP="00C12E61">
            <w:pPr>
              <w:pStyle w:val="Paragraphedeliste"/>
              <w:numPr>
                <w:ilvl w:val="0"/>
                <w:numId w:val="15"/>
              </w:numPr>
              <w:spacing w:before="40" w:after="40"/>
              <w:jc w:val="left"/>
              <w:rPr>
                <w:rFonts w:cs="Arial"/>
              </w:rPr>
            </w:pPr>
            <w:r w:rsidRPr="007C2998">
              <w:rPr>
                <w:rFonts w:cs="Arial"/>
              </w:rPr>
              <w:t>Incendie, explosion, dégât des eaux, tempête, grêle, dommage électrique,</w:t>
            </w:r>
          </w:p>
        </w:tc>
        <w:tc>
          <w:tcPr>
            <w:tcW w:w="2220" w:type="dxa"/>
            <w:shd w:val="clear" w:color="auto" w:fill="E2EFD9" w:themeFill="accent6" w:themeFillTint="33"/>
            <w:vAlign w:val="center"/>
          </w:tcPr>
          <w:p w14:paraId="42C59944" w14:textId="77777777" w:rsidR="00C12E61" w:rsidRPr="00F264F4" w:rsidRDefault="00C12E61" w:rsidP="004C3BBF">
            <w:pPr>
              <w:spacing w:before="40" w:after="40"/>
              <w:ind w:right="-18"/>
              <w:jc w:val="right"/>
              <w:rPr>
                <w:rFonts w:cs="Arial"/>
              </w:rPr>
            </w:pPr>
            <w:r>
              <w:rPr>
                <w:rFonts w:cs="Arial"/>
              </w:rPr>
              <w:t>2 00</w:t>
            </w:r>
            <w:r w:rsidRPr="00F264F4">
              <w:rPr>
                <w:rFonts w:cs="Arial"/>
              </w:rPr>
              <w:t>0 000 €</w:t>
            </w:r>
          </w:p>
        </w:tc>
        <w:tc>
          <w:tcPr>
            <w:tcW w:w="2003" w:type="dxa"/>
            <w:shd w:val="clear" w:color="auto" w:fill="E2EFD9" w:themeFill="accent6" w:themeFillTint="33"/>
            <w:vAlign w:val="center"/>
          </w:tcPr>
          <w:p w14:paraId="3195A9F5" w14:textId="77777777" w:rsidR="00C12E61" w:rsidRPr="00F264F4" w:rsidRDefault="00C12E61" w:rsidP="004C3BBF">
            <w:pPr>
              <w:spacing w:before="40" w:after="40"/>
              <w:jc w:val="right"/>
              <w:rPr>
                <w:rFonts w:cs="Arial"/>
              </w:rPr>
            </w:pPr>
            <w:r>
              <w:rPr>
                <w:rFonts w:cs="Arial"/>
              </w:rPr>
              <w:t>5 000 €</w:t>
            </w:r>
          </w:p>
        </w:tc>
      </w:tr>
      <w:tr w:rsidR="00C12E61" w:rsidRPr="00F264F4" w14:paraId="310B10B0" w14:textId="77777777" w:rsidTr="008B0AB2">
        <w:tc>
          <w:tcPr>
            <w:tcW w:w="6041" w:type="dxa"/>
            <w:shd w:val="clear" w:color="auto" w:fill="E2EFD9" w:themeFill="accent6" w:themeFillTint="33"/>
            <w:vAlign w:val="center"/>
          </w:tcPr>
          <w:p w14:paraId="5B08EED0" w14:textId="77777777" w:rsidR="00C12E61" w:rsidRPr="007C2998" w:rsidRDefault="00C12E61" w:rsidP="00C12E61">
            <w:pPr>
              <w:pStyle w:val="Paragraphedeliste"/>
              <w:numPr>
                <w:ilvl w:val="0"/>
                <w:numId w:val="15"/>
              </w:numPr>
              <w:spacing w:before="40" w:after="40"/>
              <w:jc w:val="left"/>
              <w:rPr>
                <w:rFonts w:cs="Arial"/>
              </w:rPr>
            </w:pPr>
            <w:r w:rsidRPr="007C2998">
              <w:rPr>
                <w:rFonts w:cs="Arial"/>
              </w:rPr>
              <w:t xml:space="preserve">Vol vandalisme avec protection des locaux </w:t>
            </w:r>
          </w:p>
        </w:tc>
        <w:tc>
          <w:tcPr>
            <w:tcW w:w="2220" w:type="dxa"/>
            <w:shd w:val="clear" w:color="auto" w:fill="E2EFD9" w:themeFill="accent6" w:themeFillTint="33"/>
            <w:vAlign w:val="center"/>
          </w:tcPr>
          <w:p w14:paraId="00BE7D81" w14:textId="77777777" w:rsidR="00C12E61" w:rsidRDefault="00C12E61" w:rsidP="004C3BBF">
            <w:pPr>
              <w:spacing w:before="40" w:after="40"/>
              <w:ind w:right="-18"/>
              <w:jc w:val="right"/>
              <w:rPr>
                <w:rFonts w:cs="Arial"/>
              </w:rPr>
            </w:pPr>
            <w:r>
              <w:rPr>
                <w:rFonts w:cs="Arial"/>
              </w:rPr>
              <w:t>500 000 €</w:t>
            </w:r>
          </w:p>
        </w:tc>
        <w:tc>
          <w:tcPr>
            <w:tcW w:w="2003" w:type="dxa"/>
            <w:shd w:val="clear" w:color="auto" w:fill="E2EFD9" w:themeFill="accent6" w:themeFillTint="33"/>
            <w:vAlign w:val="center"/>
          </w:tcPr>
          <w:p w14:paraId="26E16C78" w14:textId="77777777" w:rsidR="00C12E61" w:rsidRDefault="00C12E61" w:rsidP="004C3BBF">
            <w:pPr>
              <w:spacing w:before="40" w:after="40"/>
              <w:jc w:val="right"/>
              <w:rPr>
                <w:rFonts w:cs="Arial"/>
              </w:rPr>
            </w:pPr>
            <w:r>
              <w:rPr>
                <w:rFonts w:cs="Arial"/>
              </w:rPr>
              <w:t>1 500 €</w:t>
            </w:r>
          </w:p>
        </w:tc>
      </w:tr>
      <w:tr w:rsidR="00C12E61" w:rsidRPr="00F264F4" w14:paraId="63BAE0B7" w14:textId="77777777" w:rsidTr="008B0AB2">
        <w:tc>
          <w:tcPr>
            <w:tcW w:w="6041" w:type="dxa"/>
            <w:shd w:val="clear" w:color="auto" w:fill="E2EFD9" w:themeFill="accent6" w:themeFillTint="33"/>
            <w:vAlign w:val="center"/>
          </w:tcPr>
          <w:p w14:paraId="108BEDCB" w14:textId="77777777" w:rsidR="00C12E61" w:rsidRPr="007C2998" w:rsidRDefault="00C12E61" w:rsidP="00C12E61">
            <w:pPr>
              <w:pStyle w:val="Paragraphedeliste"/>
              <w:numPr>
                <w:ilvl w:val="0"/>
                <w:numId w:val="15"/>
              </w:numPr>
              <w:spacing w:before="40" w:after="40"/>
              <w:jc w:val="left"/>
              <w:rPr>
                <w:rFonts w:cs="Arial"/>
              </w:rPr>
            </w:pPr>
            <w:r w:rsidRPr="007C2998">
              <w:rPr>
                <w:rFonts w:cs="Arial"/>
              </w:rPr>
              <w:t>Bris de machine (valeur d’usage)</w:t>
            </w:r>
          </w:p>
        </w:tc>
        <w:tc>
          <w:tcPr>
            <w:tcW w:w="2220" w:type="dxa"/>
            <w:shd w:val="clear" w:color="auto" w:fill="E2EFD9" w:themeFill="accent6" w:themeFillTint="33"/>
            <w:vAlign w:val="center"/>
          </w:tcPr>
          <w:p w14:paraId="632E4944" w14:textId="77777777" w:rsidR="00C12E61" w:rsidRDefault="00C12E61" w:rsidP="004C3BBF">
            <w:pPr>
              <w:spacing w:before="40" w:after="40"/>
              <w:ind w:right="-18"/>
              <w:jc w:val="right"/>
              <w:rPr>
                <w:rFonts w:cs="Arial"/>
              </w:rPr>
            </w:pPr>
            <w:r>
              <w:rPr>
                <w:rFonts w:cs="Arial"/>
              </w:rPr>
              <w:t>50 000 € / an</w:t>
            </w:r>
          </w:p>
        </w:tc>
        <w:tc>
          <w:tcPr>
            <w:tcW w:w="2003" w:type="dxa"/>
            <w:shd w:val="clear" w:color="auto" w:fill="E2EFD9" w:themeFill="accent6" w:themeFillTint="33"/>
            <w:vAlign w:val="center"/>
          </w:tcPr>
          <w:p w14:paraId="01BDA6F6" w14:textId="77777777" w:rsidR="00C12E61" w:rsidRDefault="00C12E61" w:rsidP="004C3BBF">
            <w:pPr>
              <w:spacing w:before="40" w:after="40"/>
              <w:jc w:val="right"/>
              <w:rPr>
                <w:rFonts w:cs="Arial"/>
              </w:rPr>
            </w:pPr>
            <w:r>
              <w:rPr>
                <w:rFonts w:cs="Arial"/>
              </w:rPr>
              <w:t>10 % valeur neuf</w:t>
            </w:r>
          </w:p>
        </w:tc>
      </w:tr>
      <w:tr w:rsidR="00C12E61" w:rsidRPr="00F264F4" w14:paraId="26B329B4" w14:textId="77777777" w:rsidTr="008B0AB2">
        <w:tc>
          <w:tcPr>
            <w:tcW w:w="6041" w:type="dxa"/>
            <w:shd w:val="clear" w:color="auto" w:fill="E2EFD9" w:themeFill="accent6" w:themeFillTint="33"/>
            <w:vAlign w:val="center"/>
          </w:tcPr>
          <w:p w14:paraId="134BB2EA" w14:textId="77777777" w:rsidR="00C12E61" w:rsidRPr="007C2998" w:rsidRDefault="00C12E61" w:rsidP="00C12E61">
            <w:pPr>
              <w:pStyle w:val="Paragraphedeliste"/>
              <w:numPr>
                <w:ilvl w:val="0"/>
                <w:numId w:val="15"/>
              </w:numPr>
              <w:spacing w:before="40" w:after="40"/>
              <w:jc w:val="left"/>
              <w:rPr>
                <w:rFonts w:cs="Arial"/>
              </w:rPr>
            </w:pPr>
            <w:r w:rsidRPr="007C2998">
              <w:rPr>
                <w:rFonts w:cs="Arial"/>
              </w:rPr>
              <w:t xml:space="preserve">Transport de marchandises </w:t>
            </w:r>
          </w:p>
        </w:tc>
        <w:tc>
          <w:tcPr>
            <w:tcW w:w="2220" w:type="dxa"/>
            <w:shd w:val="clear" w:color="auto" w:fill="E2EFD9" w:themeFill="accent6" w:themeFillTint="33"/>
            <w:vAlign w:val="center"/>
          </w:tcPr>
          <w:p w14:paraId="5A1B6ABC" w14:textId="77777777" w:rsidR="00C12E61" w:rsidRDefault="00C12E61" w:rsidP="004C3BBF">
            <w:pPr>
              <w:spacing w:before="40" w:after="40"/>
              <w:ind w:right="-18"/>
              <w:jc w:val="right"/>
              <w:rPr>
                <w:rFonts w:cs="Arial"/>
              </w:rPr>
            </w:pPr>
            <w:r>
              <w:rPr>
                <w:rFonts w:cs="Arial"/>
              </w:rPr>
              <w:t>20 000 € / an</w:t>
            </w:r>
          </w:p>
        </w:tc>
        <w:tc>
          <w:tcPr>
            <w:tcW w:w="2003" w:type="dxa"/>
            <w:shd w:val="clear" w:color="auto" w:fill="E2EFD9" w:themeFill="accent6" w:themeFillTint="33"/>
            <w:vAlign w:val="center"/>
          </w:tcPr>
          <w:p w14:paraId="68DAA32F" w14:textId="77777777" w:rsidR="00C12E61" w:rsidRDefault="00C12E61" w:rsidP="004C3BBF">
            <w:pPr>
              <w:spacing w:before="40" w:after="40"/>
              <w:jc w:val="right"/>
              <w:rPr>
                <w:rFonts w:cs="Arial"/>
              </w:rPr>
            </w:pPr>
            <w:r>
              <w:rPr>
                <w:rFonts w:cs="Arial"/>
              </w:rPr>
              <w:t>10 % valeur neuf</w:t>
            </w:r>
          </w:p>
        </w:tc>
      </w:tr>
      <w:tr w:rsidR="00C12E61" w:rsidRPr="00F264F4" w14:paraId="6EA40AA1" w14:textId="77777777" w:rsidTr="008B0AB2">
        <w:tc>
          <w:tcPr>
            <w:tcW w:w="6041" w:type="dxa"/>
            <w:shd w:val="clear" w:color="auto" w:fill="E2EFD9" w:themeFill="accent6" w:themeFillTint="33"/>
            <w:vAlign w:val="center"/>
          </w:tcPr>
          <w:p w14:paraId="425399E2" w14:textId="77777777" w:rsidR="00C12E61" w:rsidRPr="007C2998" w:rsidRDefault="00C12E61" w:rsidP="00C12E61">
            <w:pPr>
              <w:pStyle w:val="Paragraphedeliste"/>
              <w:numPr>
                <w:ilvl w:val="0"/>
                <w:numId w:val="15"/>
              </w:numPr>
              <w:spacing w:before="40" w:after="40"/>
              <w:jc w:val="left"/>
              <w:rPr>
                <w:rFonts w:cs="Arial"/>
              </w:rPr>
            </w:pPr>
            <w:r w:rsidRPr="007C2998">
              <w:rPr>
                <w:rFonts w:cs="Arial"/>
              </w:rPr>
              <w:t>Véhicule déplacement personne</w:t>
            </w:r>
          </w:p>
        </w:tc>
        <w:tc>
          <w:tcPr>
            <w:tcW w:w="2220" w:type="dxa"/>
            <w:shd w:val="clear" w:color="auto" w:fill="E2EFD9" w:themeFill="accent6" w:themeFillTint="33"/>
            <w:vAlign w:val="center"/>
          </w:tcPr>
          <w:p w14:paraId="1C43557C" w14:textId="77777777" w:rsidR="00C12E61" w:rsidRDefault="00C12E61" w:rsidP="004C3BBF">
            <w:pPr>
              <w:spacing w:before="40" w:after="40"/>
              <w:ind w:right="-18"/>
              <w:jc w:val="right"/>
              <w:rPr>
                <w:rFonts w:cs="Arial"/>
              </w:rPr>
            </w:pPr>
            <w:r>
              <w:rPr>
                <w:rFonts w:cs="Arial"/>
              </w:rPr>
              <w:t>70 000 € / an</w:t>
            </w:r>
          </w:p>
        </w:tc>
        <w:tc>
          <w:tcPr>
            <w:tcW w:w="2003" w:type="dxa"/>
            <w:shd w:val="clear" w:color="auto" w:fill="E2EFD9" w:themeFill="accent6" w:themeFillTint="33"/>
            <w:vAlign w:val="center"/>
          </w:tcPr>
          <w:p w14:paraId="5E333C7A" w14:textId="77777777" w:rsidR="00C12E61" w:rsidRDefault="00C12E61" w:rsidP="004C3BBF">
            <w:pPr>
              <w:spacing w:before="40" w:after="40"/>
              <w:jc w:val="right"/>
              <w:rPr>
                <w:rFonts w:cs="Arial"/>
              </w:rPr>
            </w:pPr>
            <w:r>
              <w:rPr>
                <w:rFonts w:cs="Arial"/>
              </w:rPr>
              <w:t>2 000 €</w:t>
            </w:r>
          </w:p>
        </w:tc>
      </w:tr>
      <w:tr w:rsidR="00C12E61" w:rsidRPr="00F264F4" w14:paraId="4DE8C12B" w14:textId="77777777" w:rsidTr="008B0AB2">
        <w:tc>
          <w:tcPr>
            <w:tcW w:w="6041" w:type="dxa"/>
            <w:shd w:val="clear" w:color="auto" w:fill="E2EFD9" w:themeFill="accent6" w:themeFillTint="33"/>
            <w:vAlign w:val="center"/>
          </w:tcPr>
          <w:p w14:paraId="2638BB6D" w14:textId="77777777" w:rsidR="00C12E61" w:rsidRPr="007C2998" w:rsidRDefault="00C12E61" w:rsidP="00C12E61">
            <w:pPr>
              <w:pStyle w:val="Paragraphedeliste"/>
              <w:numPr>
                <w:ilvl w:val="0"/>
                <w:numId w:val="15"/>
              </w:numPr>
              <w:spacing w:before="40" w:after="40"/>
              <w:jc w:val="left"/>
              <w:rPr>
                <w:rFonts w:cs="Arial"/>
              </w:rPr>
            </w:pPr>
            <w:r w:rsidRPr="007C2998">
              <w:rPr>
                <w:rFonts w:cs="Arial"/>
              </w:rPr>
              <w:t>Véhicule déplacement marchandises</w:t>
            </w:r>
          </w:p>
        </w:tc>
        <w:tc>
          <w:tcPr>
            <w:tcW w:w="2220" w:type="dxa"/>
            <w:shd w:val="clear" w:color="auto" w:fill="E2EFD9" w:themeFill="accent6" w:themeFillTint="33"/>
            <w:vAlign w:val="center"/>
          </w:tcPr>
          <w:p w14:paraId="697AFEAA" w14:textId="77777777" w:rsidR="00C12E61" w:rsidRDefault="00C12E61" w:rsidP="004C3BBF">
            <w:pPr>
              <w:spacing w:before="40" w:after="40"/>
              <w:ind w:right="-18"/>
              <w:jc w:val="right"/>
              <w:rPr>
                <w:rFonts w:cs="Arial"/>
              </w:rPr>
            </w:pPr>
            <w:r>
              <w:rPr>
                <w:rFonts w:cs="Arial"/>
              </w:rPr>
              <w:t>70 000 € / an</w:t>
            </w:r>
          </w:p>
        </w:tc>
        <w:tc>
          <w:tcPr>
            <w:tcW w:w="2003" w:type="dxa"/>
            <w:shd w:val="clear" w:color="auto" w:fill="E2EFD9" w:themeFill="accent6" w:themeFillTint="33"/>
            <w:vAlign w:val="center"/>
          </w:tcPr>
          <w:p w14:paraId="2E88B732" w14:textId="77777777" w:rsidR="00C12E61" w:rsidRDefault="00C12E61" w:rsidP="004C3BBF">
            <w:pPr>
              <w:spacing w:before="40" w:after="40"/>
              <w:jc w:val="right"/>
              <w:rPr>
                <w:rFonts w:cs="Arial"/>
              </w:rPr>
            </w:pPr>
            <w:r>
              <w:rPr>
                <w:rFonts w:cs="Arial"/>
              </w:rPr>
              <w:t>2 000 €</w:t>
            </w:r>
          </w:p>
        </w:tc>
      </w:tr>
      <w:tr w:rsidR="00C12E61" w:rsidRPr="00F264F4" w14:paraId="37689F91" w14:textId="77777777" w:rsidTr="008B0AB2">
        <w:tc>
          <w:tcPr>
            <w:tcW w:w="6041" w:type="dxa"/>
            <w:shd w:val="clear" w:color="auto" w:fill="E2EFD9" w:themeFill="accent6" w:themeFillTint="33"/>
            <w:vAlign w:val="center"/>
          </w:tcPr>
          <w:p w14:paraId="75477DD0" w14:textId="77777777" w:rsidR="00C12E61" w:rsidRPr="00593941" w:rsidRDefault="00C12E61" w:rsidP="004C3BBF">
            <w:pPr>
              <w:spacing w:before="120"/>
              <w:jc w:val="left"/>
              <w:rPr>
                <w:rFonts w:cs="Arial"/>
              </w:rPr>
            </w:pPr>
            <w:r w:rsidRPr="00F264F4">
              <w:rPr>
                <w:rFonts w:cs="Arial"/>
                <w:b/>
              </w:rPr>
              <w:t>B – Assurance des responsabilités</w:t>
            </w:r>
          </w:p>
        </w:tc>
        <w:tc>
          <w:tcPr>
            <w:tcW w:w="2220" w:type="dxa"/>
            <w:shd w:val="clear" w:color="auto" w:fill="E2EFD9" w:themeFill="accent6" w:themeFillTint="33"/>
            <w:vAlign w:val="center"/>
          </w:tcPr>
          <w:p w14:paraId="52B283AE" w14:textId="77777777" w:rsidR="00C12E61" w:rsidRDefault="00C12E61" w:rsidP="004C3BBF">
            <w:pPr>
              <w:spacing w:before="120"/>
              <w:ind w:right="-18"/>
              <w:jc w:val="right"/>
              <w:rPr>
                <w:rFonts w:cs="Arial"/>
              </w:rPr>
            </w:pPr>
          </w:p>
        </w:tc>
        <w:tc>
          <w:tcPr>
            <w:tcW w:w="2003" w:type="dxa"/>
            <w:shd w:val="clear" w:color="auto" w:fill="E2EFD9" w:themeFill="accent6" w:themeFillTint="33"/>
            <w:vAlign w:val="center"/>
          </w:tcPr>
          <w:p w14:paraId="25729270" w14:textId="77777777" w:rsidR="00C12E61" w:rsidRDefault="00C12E61" w:rsidP="004C3BBF">
            <w:pPr>
              <w:spacing w:before="120"/>
              <w:jc w:val="right"/>
              <w:rPr>
                <w:rFonts w:cs="Arial"/>
              </w:rPr>
            </w:pPr>
          </w:p>
        </w:tc>
      </w:tr>
      <w:tr w:rsidR="00C12E61" w:rsidRPr="00F264F4" w14:paraId="7BE1EF26" w14:textId="77777777" w:rsidTr="008B0AB2">
        <w:tc>
          <w:tcPr>
            <w:tcW w:w="6041" w:type="dxa"/>
            <w:shd w:val="clear" w:color="auto" w:fill="E2EFD9" w:themeFill="accent6" w:themeFillTint="33"/>
            <w:vAlign w:val="center"/>
          </w:tcPr>
          <w:p w14:paraId="43BE3F17" w14:textId="3857CB12" w:rsidR="00C12E61" w:rsidRPr="007C2998" w:rsidRDefault="00C12E61" w:rsidP="004C3BBF">
            <w:pPr>
              <w:spacing w:before="40" w:after="40"/>
              <w:jc w:val="left"/>
              <w:rPr>
                <w:rFonts w:cs="Arial"/>
              </w:rPr>
            </w:pPr>
            <w:r>
              <w:rPr>
                <w:rFonts w:cs="Arial"/>
              </w:rPr>
              <w:t>Dommage</w:t>
            </w:r>
            <w:r w:rsidR="00B3635C">
              <w:rPr>
                <w:rFonts w:cs="Arial"/>
              </w:rPr>
              <w:t>s</w:t>
            </w:r>
            <w:r>
              <w:rPr>
                <w:rFonts w:cs="Arial"/>
              </w:rPr>
              <w:t xml:space="preserve"> corporel</w:t>
            </w:r>
            <w:r w:rsidR="00B3635C">
              <w:rPr>
                <w:rFonts w:cs="Arial"/>
              </w:rPr>
              <w:t>s</w:t>
            </w:r>
            <w:r>
              <w:rPr>
                <w:rFonts w:cs="Arial"/>
              </w:rPr>
              <w:t>, matériels, et immatériels confondus</w:t>
            </w:r>
          </w:p>
        </w:tc>
        <w:tc>
          <w:tcPr>
            <w:tcW w:w="2220" w:type="dxa"/>
            <w:shd w:val="clear" w:color="auto" w:fill="E2EFD9" w:themeFill="accent6" w:themeFillTint="33"/>
            <w:vAlign w:val="center"/>
          </w:tcPr>
          <w:p w14:paraId="74871EC8" w14:textId="77777777" w:rsidR="00C12E61" w:rsidRDefault="00C12E61" w:rsidP="004C3BBF">
            <w:pPr>
              <w:spacing w:before="40" w:after="40"/>
              <w:ind w:right="-18"/>
              <w:jc w:val="right"/>
              <w:rPr>
                <w:rFonts w:cs="Arial"/>
              </w:rPr>
            </w:pPr>
            <w:r>
              <w:rPr>
                <w:rFonts w:cs="Arial"/>
              </w:rPr>
              <w:t>10 000 000 €</w:t>
            </w:r>
          </w:p>
        </w:tc>
        <w:tc>
          <w:tcPr>
            <w:tcW w:w="2003" w:type="dxa"/>
            <w:shd w:val="clear" w:color="auto" w:fill="E2EFD9" w:themeFill="accent6" w:themeFillTint="33"/>
            <w:vAlign w:val="center"/>
          </w:tcPr>
          <w:p w14:paraId="7EB4DF28" w14:textId="77777777" w:rsidR="00C12E61" w:rsidRDefault="00C12E61" w:rsidP="004C3BBF">
            <w:pPr>
              <w:spacing w:before="40" w:after="40"/>
              <w:jc w:val="right"/>
              <w:rPr>
                <w:rFonts w:cs="Arial"/>
              </w:rPr>
            </w:pPr>
            <w:r>
              <w:rPr>
                <w:rFonts w:cs="Arial"/>
              </w:rPr>
              <w:t>Néant</w:t>
            </w:r>
          </w:p>
        </w:tc>
      </w:tr>
      <w:tr w:rsidR="00C12E61" w:rsidRPr="00F264F4" w14:paraId="6DCC73C3" w14:textId="77777777" w:rsidTr="008B0AB2">
        <w:tc>
          <w:tcPr>
            <w:tcW w:w="6041" w:type="dxa"/>
            <w:shd w:val="clear" w:color="auto" w:fill="E2EFD9" w:themeFill="accent6" w:themeFillTint="33"/>
            <w:vAlign w:val="center"/>
          </w:tcPr>
          <w:p w14:paraId="25A07B1E" w14:textId="77777777" w:rsidR="00C12E61" w:rsidRPr="00F264F4" w:rsidRDefault="00C12E61" w:rsidP="004C3BBF">
            <w:pPr>
              <w:spacing w:before="40" w:after="40"/>
              <w:jc w:val="left"/>
              <w:rPr>
                <w:rFonts w:cs="Arial"/>
                <w:b/>
              </w:rPr>
            </w:pPr>
            <w:r>
              <w:rPr>
                <w:rFonts w:cs="Arial"/>
              </w:rPr>
              <w:t>Dont :</w:t>
            </w:r>
          </w:p>
        </w:tc>
        <w:tc>
          <w:tcPr>
            <w:tcW w:w="2220" w:type="dxa"/>
            <w:shd w:val="clear" w:color="auto" w:fill="E2EFD9" w:themeFill="accent6" w:themeFillTint="33"/>
            <w:vAlign w:val="center"/>
          </w:tcPr>
          <w:p w14:paraId="18A0008C" w14:textId="77777777" w:rsidR="00C12E61" w:rsidRDefault="00C12E61" w:rsidP="004C3BBF">
            <w:pPr>
              <w:spacing w:before="40" w:after="40"/>
              <w:ind w:right="-18"/>
              <w:jc w:val="right"/>
              <w:rPr>
                <w:rFonts w:cs="Arial"/>
              </w:rPr>
            </w:pPr>
          </w:p>
        </w:tc>
        <w:tc>
          <w:tcPr>
            <w:tcW w:w="2003" w:type="dxa"/>
            <w:shd w:val="clear" w:color="auto" w:fill="E2EFD9" w:themeFill="accent6" w:themeFillTint="33"/>
            <w:vAlign w:val="center"/>
          </w:tcPr>
          <w:p w14:paraId="4D41BBBF" w14:textId="77777777" w:rsidR="00C12E61" w:rsidRDefault="00C12E61" w:rsidP="004C3BBF">
            <w:pPr>
              <w:spacing w:before="40" w:after="40"/>
              <w:jc w:val="right"/>
              <w:rPr>
                <w:rFonts w:cs="Arial"/>
              </w:rPr>
            </w:pPr>
          </w:p>
        </w:tc>
      </w:tr>
      <w:tr w:rsidR="00C12E61" w:rsidRPr="00F264F4" w14:paraId="3F134A4B" w14:textId="77777777" w:rsidTr="008B0AB2">
        <w:tc>
          <w:tcPr>
            <w:tcW w:w="6041" w:type="dxa"/>
            <w:shd w:val="clear" w:color="auto" w:fill="E2EFD9" w:themeFill="accent6" w:themeFillTint="33"/>
            <w:vAlign w:val="center"/>
          </w:tcPr>
          <w:p w14:paraId="5781F6D3" w14:textId="77777777" w:rsidR="00C12E61" w:rsidRPr="004C20A8" w:rsidRDefault="00C12E61" w:rsidP="00C12E61">
            <w:pPr>
              <w:pStyle w:val="Paragraphedeliste"/>
              <w:numPr>
                <w:ilvl w:val="0"/>
                <w:numId w:val="15"/>
              </w:numPr>
              <w:spacing w:before="40" w:after="40"/>
              <w:jc w:val="left"/>
              <w:rPr>
                <w:rFonts w:cs="Arial"/>
              </w:rPr>
            </w:pPr>
            <w:r w:rsidRPr="004C20A8">
              <w:rPr>
                <w:rFonts w:cs="Arial"/>
              </w:rPr>
              <w:t>Faute inexcusable employeur</w:t>
            </w:r>
          </w:p>
        </w:tc>
        <w:tc>
          <w:tcPr>
            <w:tcW w:w="2220" w:type="dxa"/>
            <w:shd w:val="clear" w:color="auto" w:fill="E2EFD9" w:themeFill="accent6" w:themeFillTint="33"/>
            <w:vAlign w:val="center"/>
          </w:tcPr>
          <w:p w14:paraId="2FE6E794" w14:textId="77777777" w:rsidR="00C12E61" w:rsidRDefault="00C12E61" w:rsidP="004C3BBF">
            <w:pPr>
              <w:spacing w:before="40" w:after="40"/>
              <w:ind w:right="-18"/>
              <w:jc w:val="right"/>
              <w:rPr>
                <w:rFonts w:cs="Arial"/>
              </w:rPr>
            </w:pPr>
            <w:r>
              <w:rPr>
                <w:rFonts w:cs="Arial"/>
              </w:rPr>
              <w:t>1 000 000 €</w:t>
            </w:r>
          </w:p>
        </w:tc>
        <w:tc>
          <w:tcPr>
            <w:tcW w:w="2003" w:type="dxa"/>
            <w:shd w:val="clear" w:color="auto" w:fill="E2EFD9" w:themeFill="accent6" w:themeFillTint="33"/>
            <w:vAlign w:val="center"/>
          </w:tcPr>
          <w:p w14:paraId="484ED3F5" w14:textId="77777777" w:rsidR="00C12E61" w:rsidRDefault="00C12E61" w:rsidP="004C3BBF">
            <w:pPr>
              <w:spacing w:before="40" w:after="40"/>
              <w:jc w:val="right"/>
              <w:rPr>
                <w:rFonts w:cs="Arial"/>
              </w:rPr>
            </w:pPr>
            <w:r>
              <w:rPr>
                <w:rFonts w:cs="Arial"/>
              </w:rPr>
              <w:t>Néant</w:t>
            </w:r>
          </w:p>
          <w:p w14:paraId="13264AE1" w14:textId="77777777" w:rsidR="00C12E61" w:rsidRDefault="00C12E61" w:rsidP="004C3BBF">
            <w:pPr>
              <w:spacing w:before="40" w:after="40"/>
              <w:jc w:val="right"/>
              <w:rPr>
                <w:rFonts w:cs="Arial"/>
              </w:rPr>
            </w:pPr>
          </w:p>
        </w:tc>
      </w:tr>
      <w:tr w:rsidR="00C12E61" w:rsidRPr="004C20A8" w14:paraId="4B06AA49" w14:textId="77777777" w:rsidTr="008B0AB2">
        <w:tc>
          <w:tcPr>
            <w:tcW w:w="6041" w:type="dxa"/>
            <w:shd w:val="clear" w:color="auto" w:fill="E2EFD9" w:themeFill="accent6" w:themeFillTint="33"/>
            <w:vAlign w:val="center"/>
          </w:tcPr>
          <w:p w14:paraId="6215EDB2" w14:textId="77777777" w:rsidR="00C12E61" w:rsidRPr="004C20A8" w:rsidRDefault="00C12E61" w:rsidP="00C12E61">
            <w:pPr>
              <w:pStyle w:val="Paragraphedeliste"/>
              <w:numPr>
                <w:ilvl w:val="0"/>
                <w:numId w:val="15"/>
              </w:numPr>
              <w:spacing w:before="40" w:after="40"/>
              <w:jc w:val="left"/>
              <w:rPr>
                <w:rFonts w:cs="Arial"/>
              </w:rPr>
            </w:pPr>
            <w:r w:rsidRPr="004C20A8">
              <w:rPr>
                <w:rFonts w:cs="Arial"/>
              </w:rPr>
              <w:t>Dommages matériels et immatériels</w:t>
            </w:r>
          </w:p>
        </w:tc>
        <w:tc>
          <w:tcPr>
            <w:tcW w:w="2220" w:type="dxa"/>
            <w:shd w:val="clear" w:color="auto" w:fill="E2EFD9" w:themeFill="accent6" w:themeFillTint="33"/>
            <w:vAlign w:val="center"/>
          </w:tcPr>
          <w:p w14:paraId="7E4CA651" w14:textId="77777777" w:rsidR="00C12E61" w:rsidRPr="004C20A8" w:rsidRDefault="00C12E61" w:rsidP="004C3BBF">
            <w:pPr>
              <w:spacing w:before="40" w:after="40"/>
              <w:ind w:right="-18"/>
              <w:jc w:val="right"/>
              <w:rPr>
                <w:rFonts w:cs="Arial"/>
              </w:rPr>
            </w:pPr>
            <w:r w:rsidRPr="004C20A8">
              <w:rPr>
                <w:rFonts w:cs="Arial"/>
              </w:rPr>
              <w:t>2 000 000 €</w:t>
            </w:r>
          </w:p>
        </w:tc>
        <w:tc>
          <w:tcPr>
            <w:tcW w:w="2003" w:type="dxa"/>
            <w:shd w:val="clear" w:color="auto" w:fill="E2EFD9" w:themeFill="accent6" w:themeFillTint="33"/>
            <w:vAlign w:val="center"/>
          </w:tcPr>
          <w:p w14:paraId="5D957DC4" w14:textId="77777777" w:rsidR="00C12E61" w:rsidRPr="004C20A8" w:rsidRDefault="00C12E61" w:rsidP="004C3BBF">
            <w:pPr>
              <w:spacing w:before="40" w:after="40"/>
              <w:jc w:val="right"/>
              <w:rPr>
                <w:rFonts w:cs="Arial"/>
              </w:rPr>
            </w:pPr>
            <w:r w:rsidRPr="004C20A8">
              <w:rPr>
                <w:rFonts w:cs="Arial"/>
              </w:rPr>
              <w:t>11 500 €</w:t>
            </w:r>
          </w:p>
        </w:tc>
      </w:tr>
      <w:tr w:rsidR="00C12E61" w:rsidRPr="00F264F4" w14:paraId="33ED9145" w14:textId="77777777" w:rsidTr="008B0AB2">
        <w:tc>
          <w:tcPr>
            <w:tcW w:w="6041" w:type="dxa"/>
            <w:shd w:val="clear" w:color="auto" w:fill="E2EFD9" w:themeFill="accent6" w:themeFillTint="33"/>
            <w:vAlign w:val="center"/>
          </w:tcPr>
          <w:p w14:paraId="59BF8371" w14:textId="77777777" w:rsidR="00C12E61" w:rsidRPr="004C20A8" w:rsidRDefault="00C12E61" w:rsidP="00C12E61">
            <w:pPr>
              <w:pStyle w:val="Paragraphedeliste"/>
              <w:numPr>
                <w:ilvl w:val="0"/>
                <w:numId w:val="15"/>
              </w:numPr>
              <w:spacing w:before="40" w:after="40"/>
              <w:jc w:val="left"/>
              <w:rPr>
                <w:rFonts w:cs="Arial"/>
              </w:rPr>
            </w:pPr>
            <w:r w:rsidRPr="004C20A8">
              <w:rPr>
                <w:rFonts w:cs="Arial"/>
              </w:rPr>
              <w:t>Responsabilité d’exploitation</w:t>
            </w:r>
          </w:p>
        </w:tc>
        <w:tc>
          <w:tcPr>
            <w:tcW w:w="2220" w:type="dxa"/>
            <w:shd w:val="clear" w:color="auto" w:fill="E2EFD9" w:themeFill="accent6" w:themeFillTint="33"/>
            <w:vAlign w:val="center"/>
          </w:tcPr>
          <w:p w14:paraId="2322667C" w14:textId="77777777" w:rsidR="00C12E61" w:rsidRDefault="00C12E61" w:rsidP="004C3BBF">
            <w:pPr>
              <w:spacing w:before="40" w:after="40"/>
              <w:ind w:right="-18"/>
              <w:jc w:val="right"/>
              <w:rPr>
                <w:rFonts w:cs="Arial"/>
              </w:rPr>
            </w:pPr>
            <w:r>
              <w:rPr>
                <w:rFonts w:cs="Arial"/>
              </w:rPr>
              <w:t>Illimité</w:t>
            </w:r>
          </w:p>
        </w:tc>
        <w:tc>
          <w:tcPr>
            <w:tcW w:w="2003" w:type="dxa"/>
            <w:shd w:val="clear" w:color="auto" w:fill="E2EFD9" w:themeFill="accent6" w:themeFillTint="33"/>
            <w:vAlign w:val="center"/>
          </w:tcPr>
          <w:p w14:paraId="79C2741E" w14:textId="77777777" w:rsidR="00C12E61" w:rsidRDefault="00C12E61" w:rsidP="004C3BBF">
            <w:pPr>
              <w:spacing w:before="40" w:after="40"/>
              <w:jc w:val="right"/>
              <w:rPr>
                <w:rFonts w:cs="Arial"/>
              </w:rPr>
            </w:pPr>
            <w:r>
              <w:rPr>
                <w:rFonts w:cs="Arial"/>
              </w:rPr>
              <w:t>1 jour de CA</w:t>
            </w:r>
          </w:p>
        </w:tc>
      </w:tr>
      <w:tr w:rsidR="00C12E61" w:rsidRPr="00F264F4" w14:paraId="5BFA034E" w14:textId="77777777" w:rsidTr="008B0AB2">
        <w:tc>
          <w:tcPr>
            <w:tcW w:w="6041" w:type="dxa"/>
            <w:shd w:val="clear" w:color="auto" w:fill="E2EFD9" w:themeFill="accent6" w:themeFillTint="33"/>
            <w:vAlign w:val="center"/>
          </w:tcPr>
          <w:p w14:paraId="3BEACCF9" w14:textId="77777777" w:rsidR="00C12E61" w:rsidRPr="004C20A8" w:rsidRDefault="00C12E61" w:rsidP="00C12E61">
            <w:pPr>
              <w:pStyle w:val="Paragraphedeliste"/>
              <w:numPr>
                <w:ilvl w:val="0"/>
                <w:numId w:val="15"/>
              </w:numPr>
              <w:spacing w:before="40" w:after="40"/>
              <w:jc w:val="left"/>
              <w:rPr>
                <w:rFonts w:cs="Arial"/>
              </w:rPr>
            </w:pPr>
            <w:r w:rsidRPr="004C20A8">
              <w:rPr>
                <w:rFonts w:cs="Arial"/>
              </w:rPr>
              <w:t>Dommages subis par les biens confiés, y compris les biens loués ou loués</w:t>
            </w:r>
          </w:p>
        </w:tc>
        <w:tc>
          <w:tcPr>
            <w:tcW w:w="2220" w:type="dxa"/>
            <w:shd w:val="clear" w:color="auto" w:fill="E2EFD9" w:themeFill="accent6" w:themeFillTint="33"/>
            <w:vAlign w:val="center"/>
          </w:tcPr>
          <w:p w14:paraId="39C63C2E" w14:textId="77777777" w:rsidR="00C12E61" w:rsidRDefault="00C12E61" w:rsidP="004C3BBF">
            <w:pPr>
              <w:spacing w:before="40" w:after="40"/>
              <w:ind w:right="-18"/>
              <w:jc w:val="right"/>
              <w:rPr>
                <w:rFonts w:cs="Arial"/>
              </w:rPr>
            </w:pPr>
            <w:r>
              <w:rPr>
                <w:rFonts w:cs="Arial"/>
              </w:rPr>
              <w:t>150 000 €</w:t>
            </w:r>
          </w:p>
        </w:tc>
        <w:tc>
          <w:tcPr>
            <w:tcW w:w="2003" w:type="dxa"/>
            <w:shd w:val="clear" w:color="auto" w:fill="E2EFD9" w:themeFill="accent6" w:themeFillTint="33"/>
            <w:vAlign w:val="center"/>
          </w:tcPr>
          <w:p w14:paraId="04FF94BE" w14:textId="77777777" w:rsidR="00C12E61" w:rsidRDefault="00C12E61" w:rsidP="004C3BBF">
            <w:pPr>
              <w:spacing w:before="40" w:after="40"/>
              <w:jc w:val="right"/>
              <w:rPr>
                <w:rFonts w:cs="Arial"/>
              </w:rPr>
            </w:pPr>
            <w:r>
              <w:rPr>
                <w:rFonts w:cs="Arial"/>
              </w:rPr>
              <w:t>11 500 €</w:t>
            </w:r>
          </w:p>
        </w:tc>
      </w:tr>
      <w:tr w:rsidR="00C12E61" w:rsidRPr="00F264F4" w14:paraId="16D850D2" w14:textId="77777777" w:rsidTr="008B0AB2">
        <w:tc>
          <w:tcPr>
            <w:tcW w:w="6041" w:type="dxa"/>
            <w:shd w:val="clear" w:color="auto" w:fill="E2EFD9" w:themeFill="accent6" w:themeFillTint="33"/>
            <w:vAlign w:val="center"/>
          </w:tcPr>
          <w:p w14:paraId="215DAFB7" w14:textId="77777777" w:rsidR="00C12E61" w:rsidRPr="004C20A8" w:rsidRDefault="00C12E61" w:rsidP="00C12E61">
            <w:pPr>
              <w:pStyle w:val="Paragraphedeliste"/>
              <w:numPr>
                <w:ilvl w:val="0"/>
                <w:numId w:val="15"/>
              </w:numPr>
              <w:spacing w:before="40" w:after="40"/>
              <w:jc w:val="left"/>
              <w:rPr>
                <w:rFonts w:cs="Arial"/>
              </w:rPr>
            </w:pPr>
            <w:r w:rsidRPr="004C20A8">
              <w:rPr>
                <w:rFonts w:cs="Arial"/>
              </w:rPr>
              <w:t>Dommages immatériels</w:t>
            </w:r>
          </w:p>
        </w:tc>
        <w:tc>
          <w:tcPr>
            <w:tcW w:w="2220" w:type="dxa"/>
            <w:shd w:val="clear" w:color="auto" w:fill="E2EFD9" w:themeFill="accent6" w:themeFillTint="33"/>
            <w:vAlign w:val="center"/>
          </w:tcPr>
          <w:p w14:paraId="222AB3EF" w14:textId="77777777" w:rsidR="00C12E61" w:rsidRDefault="00C12E61" w:rsidP="004C3BBF">
            <w:pPr>
              <w:spacing w:before="40" w:after="40"/>
              <w:ind w:right="-18"/>
              <w:jc w:val="right"/>
              <w:rPr>
                <w:rFonts w:cs="Arial"/>
              </w:rPr>
            </w:pPr>
            <w:r>
              <w:rPr>
                <w:rFonts w:cs="Arial"/>
              </w:rPr>
              <w:t>700 000 €</w:t>
            </w:r>
          </w:p>
        </w:tc>
        <w:tc>
          <w:tcPr>
            <w:tcW w:w="2003" w:type="dxa"/>
            <w:shd w:val="clear" w:color="auto" w:fill="E2EFD9" w:themeFill="accent6" w:themeFillTint="33"/>
            <w:vAlign w:val="center"/>
          </w:tcPr>
          <w:p w14:paraId="5B4590FE" w14:textId="77777777" w:rsidR="00C12E61" w:rsidRDefault="00C12E61" w:rsidP="004C3BBF">
            <w:pPr>
              <w:spacing w:before="40" w:after="40"/>
              <w:jc w:val="right"/>
              <w:rPr>
                <w:rFonts w:cs="Arial"/>
              </w:rPr>
            </w:pPr>
            <w:r>
              <w:rPr>
                <w:rFonts w:cs="Arial"/>
              </w:rPr>
              <w:t>10 % du dommage</w:t>
            </w:r>
          </w:p>
        </w:tc>
      </w:tr>
      <w:tr w:rsidR="00C12E61" w:rsidRPr="00F264F4" w14:paraId="28BC542E" w14:textId="77777777" w:rsidTr="008B0AB2">
        <w:tc>
          <w:tcPr>
            <w:tcW w:w="6041" w:type="dxa"/>
            <w:shd w:val="clear" w:color="auto" w:fill="E2EFD9" w:themeFill="accent6" w:themeFillTint="33"/>
            <w:vAlign w:val="center"/>
          </w:tcPr>
          <w:p w14:paraId="03A13506" w14:textId="77777777" w:rsidR="00C12E61" w:rsidRPr="004C20A8" w:rsidRDefault="00C12E61" w:rsidP="00C12E61">
            <w:pPr>
              <w:pStyle w:val="Paragraphedeliste"/>
              <w:numPr>
                <w:ilvl w:val="0"/>
                <w:numId w:val="15"/>
              </w:numPr>
              <w:spacing w:before="40" w:after="40"/>
              <w:jc w:val="left"/>
              <w:rPr>
                <w:rFonts w:cs="Arial"/>
              </w:rPr>
            </w:pPr>
            <w:r w:rsidRPr="004C20A8">
              <w:rPr>
                <w:rFonts w:cs="Arial"/>
              </w:rPr>
              <w:t>Dommages environnementaux</w:t>
            </w:r>
          </w:p>
        </w:tc>
        <w:tc>
          <w:tcPr>
            <w:tcW w:w="2220" w:type="dxa"/>
            <w:shd w:val="clear" w:color="auto" w:fill="E2EFD9" w:themeFill="accent6" w:themeFillTint="33"/>
            <w:vAlign w:val="center"/>
          </w:tcPr>
          <w:p w14:paraId="5A7BEB83" w14:textId="77777777" w:rsidR="00C12E61" w:rsidRDefault="00C12E61" w:rsidP="004C3BBF">
            <w:pPr>
              <w:spacing w:before="40" w:after="40"/>
              <w:ind w:right="-18"/>
              <w:jc w:val="right"/>
              <w:rPr>
                <w:rFonts w:cs="Arial"/>
              </w:rPr>
            </w:pPr>
            <w:r>
              <w:rPr>
                <w:rFonts w:cs="Arial"/>
              </w:rPr>
              <w:t>1 500 000 €</w:t>
            </w:r>
          </w:p>
        </w:tc>
        <w:tc>
          <w:tcPr>
            <w:tcW w:w="2003" w:type="dxa"/>
            <w:shd w:val="clear" w:color="auto" w:fill="E2EFD9" w:themeFill="accent6" w:themeFillTint="33"/>
            <w:vAlign w:val="center"/>
          </w:tcPr>
          <w:p w14:paraId="5F06F39A" w14:textId="77777777" w:rsidR="00C12E61" w:rsidRDefault="00C12E61" w:rsidP="004C3BBF">
            <w:pPr>
              <w:spacing w:before="40" w:after="40"/>
              <w:jc w:val="right"/>
              <w:rPr>
                <w:rFonts w:cs="Arial"/>
              </w:rPr>
            </w:pPr>
            <w:r>
              <w:rPr>
                <w:rFonts w:cs="Arial"/>
              </w:rPr>
              <w:t>200 €</w:t>
            </w:r>
          </w:p>
        </w:tc>
      </w:tr>
      <w:tr w:rsidR="00C12E61" w:rsidRPr="00F264F4" w14:paraId="4A18C568" w14:textId="77777777" w:rsidTr="008B0AB2">
        <w:tc>
          <w:tcPr>
            <w:tcW w:w="6041" w:type="dxa"/>
            <w:shd w:val="clear" w:color="auto" w:fill="E2EFD9" w:themeFill="accent6" w:themeFillTint="33"/>
            <w:vAlign w:val="center"/>
          </w:tcPr>
          <w:p w14:paraId="5BF63E81" w14:textId="77777777" w:rsidR="00C12E61" w:rsidRPr="004C20A8" w:rsidRDefault="00C12E61" w:rsidP="00C12E61">
            <w:pPr>
              <w:pStyle w:val="Paragraphedeliste"/>
              <w:numPr>
                <w:ilvl w:val="0"/>
                <w:numId w:val="15"/>
              </w:numPr>
              <w:spacing w:before="40" w:after="40"/>
              <w:jc w:val="left"/>
              <w:rPr>
                <w:rFonts w:cs="Arial"/>
              </w:rPr>
            </w:pPr>
            <w:r w:rsidRPr="004C20A8">
              <w:rPr>
                <w:rFonts w:cs="Arial"/>
              </w:rPr>
              <w:t>Dommage aux tiers après livraison</w:t>
            </w:r>
          </w:p>
        </w:tc>
        <w:tc>
          <w:tcPr>
            <w:tcW w:w="2220" w:type="dxa"/>
            <w:shd w:val="clear" w:color="auto" w:fill="E2EFD9" w:themeFill="accent6" w:themeFillTint="33"/>
            <w:vAlign w:val="center"/>
          </w:tcPr>
          <w:p w14:paraId="10C8B3E2" w14:textId="77777777" w:rsidR="00C12E61" w:rsidRDefault="00C12E61" w:rsidP="004C3BBF">
            <w:pPr>
              <w:spacing w:before="40" w:after="40"/>
              <w:ind w:right="-18"/>
              <w:jc w:val="right"/>
              <w:rPr>
                <w:rFonts w:cs="Arial"/>
              </w:rPr>
            </w:pPr>
            <w:r>
              <w:rPr>
                <w:rFonts w:cs="Arial"/>
              </w:rPr>
              <w:t>2 000 000 €</w:t>
            </w:r>
          </w:p>
        </w:tc>
        <w:tc>
          <w:tcPr>
            <w:tcW w:w="2003" w:type="dxa"/>
            <w:shd w:val="clear" w:color="auto" w:fill="E2EFD9" w:themeFill="accent6" w:themeFillTint="33"/>
            <w:vAlign w:val="center"/>
          </w:tcPr>
          <w:p w14:paraId="7EA9907B" w14:textId="77777777" w:rsidR="00C12E61" w:rsidRDefault="00C12E61" w:rsidP="004C3BBF">
            <w:pPr>
              <w:spacing w:before="40" w:after="40"/>
              <w:jc w:val="right"/>
              <w:rPr>
                <w:rFonts w:cs="Arial"/>
              </w:rPr>
            </w:pPr>
            <w:r>
              <w:rPr>
                <w:rFonts w:cs="Arial"/>
              </w:rPr>
              <w:t>Néant</w:t>
            </w:r>
          </w:p>
        </w:tc>
      </w:tr>
      <w:tr w:rsidR="00C12E61" w:rsidRPr="00B11670" w14:paraId="70774C87" w14:textId="77777777" w:rsidTr="008B0AB2">
        <w:trPr>
          <w:trHeight w:val="361"/>
        </w:trPr>
        <w:tc>
          <w:tcPr>
            <w:tcW w:w="6041" w:type="dxa"/>
            <w:shd w:val="clear" w:color="auto" w:fill="E2EFD9" w:themeFill="accent6" w:themeFillTint="33"/>
            <w:vAlign w:val="center"/>
          </w:tcPr>
          <w:p w14:paraId="3359F109" w14:textId="77777777" w:rsidR="00C12E61" w:rsidRPr="004C20A8" w:rsidRDefault="00C12E61" w:rsidP="00C12E61">
            <w:pPr>
              <w:pStyle w:val="Paragraphedeliste"/>
              <w:numPr>
                <w:ilvl w:val="0"/>
                <w:numId w:val="15"/>
              </w:numPr>
              <w:spacing w:before="40" w:after="40"/>
              <w:jc w:val="left"/>
              <w:rPr>
                <w:rFonts w:cs="Arial"/>
              </w:rPr>
            </w:pPr>
            <w:r w:rsidRPr="004C20A8">
              <w:rPr>
                <w:rFonts w:cs="Arial"/>
              </w:rPr>
              <w:t>Responsabilité médicale</w:t>
            </w:r>
          </w:p>
        </w:tc>
        <w:tc>
          <w:tcPr>
            <w:tcW w:w="2220" w:type="dxa"/>
            <w:shd w:val="clear" w:color="auto" w:fill="E2EFD9" w:themeFill="accent6" w:themeFillTint="33"/>
            <w:vAlign w:val="center"/>
          </w:tcPr>
          <w:p w14:paraId="1C80C056" w14:textId="77777777" w:rsidR="00C12E61" w:rsidRPr="00B11670" w:rsidRDefault="00C12E61" w:rsidP="004C3BBF">
            <w:pPr>
              <w:spacing w:before="40" w:after="40"/>
              <w:ind w:right="-18"/>
              <w:jc w:val="right"/>
              <w:rPr>
                <w:rFonts w:cs="Arial"/>
              </w:rPr>
            </w:pPr>
            <w:r>
              <w:rPr>
                <w:rFonts w:cs="Arial"/>
              </w:rPr>
              <w:t>8 000 000 €</w:t>
            </w:r>
          </w:p>
        </w:tc>
        <w:tc>
          <w:tcPr>
            <w:tcW w:w="2003" w:type="dxa"/>
            <w:shd w:val="clear" w:color="auto" w:fill="E2EFD9" w:themeFill="accent6" w:themeFillTint="33"/>
            <w:vAlign w:val="center"/>
          </w:tcPr>
          <w:p w14:paraId="125F6375" w14:textId="77777777" w:rsidR="00C12E61" w:rsidRPr="00B11670" w:rsidRDefault="00C12E61" w:rsidP="004C3BBF">
            <w:pPr>
              <w:spacing w:before="40" w:after="40"/>
              <w:jc w:val="right"/>
              <w:rPr>
                <w:rFonts w:cs="Arial"/>
              </w:rPr>
            </w:pPr>
            <w:r>
              <w:rPr>
                <w:rFonts w:cs="Arial"/>
              </w:rPr>
              <w:t>NéantT</w:t>
            </w:r>
          </w:p>
        </w:tc>
      </w:tr>
      <w:tr w:rsidR="00C12E61" w:rsidRPr="00B11670" w14:paraId="0E8D357D" w14:textId="77777777" w:rsidTr="008B0AB2">
        <w:tc>
          <w:tcPr>
            <w:tcW w:w="6041" w:type="dxa"/>
            <w:shd w:val="clear" w:color="auto" w:fill="E2EFD9" w:themeFill="accent6" w:themeFillTint="33"/>
            <w:vAlign w:val="center"/>
          </w:tcPr>
          <w:p w14:paraId="2BBFCCC2" w14:textId="77777777" w:rsidR="00C12E61" w:rsidRPr="00BF60D7" w:rsidRDefault="00C12E61" w:rsidP="004C3BBF">
            <w:pPr>
              <w:spacing w:before="120"/>
              <w:jc w:val="left"/>
              <w:rPr>
                <w:rFonts w:cs="Arial"/>
                <w:b/>
              </w:rPr>
            </w:pPr>
            <w:r w:rsidRPr="00F264F4">
              <w:rPr>
                <w:rFonts w:cs="Arial"/>
                <w:b/>
              </w:rPr>
              <w:t>C – Assurance protection juridique</w:t>
            </w:r>
          </w:p>
        </w:tc>
        <w:tc>
          <w:tcPr>
            <w:tcW w:w="2220" w:type="dxa"/>
            <w:shd w:val="clear" w:color="auto" w:fill="E2EFD9" w:themeFill="accent6" w:themeFillTint="33"/>
            <w:vAlign w:val="center"/>
          </w:tcPr>
          <w:p w14:paraId="781EEFBC" w14:textId="77777777" w:rsidR="00C12E61" w:rsidRPr="00B11670" w:rsidRDefault="00C12E61" w:rsidP="004C3BBF">
            <w:pPr>
              <w:spacing w:before="120"/>
              <w:ind w:right="-18"/>
              <w:jc w:val="right"/>
              <w:rPr>
                <w:rFonts w:cs="Arial"/>
              </w:rPr>
            </w:pPr>
            <w:r>
              <w:rPr>
                <w:rFonts w:cs="Arial"/>
              </w:rPr>
              <w:t>15 000 €</w:t>
            </w:r>
          </w:p>
        </w:tc>
        <w:tc>
          <w:tcPr>
            <w:tcW w:w="2003" w:type="dxa"/>
            <w:shd w:val="clear" w:color="auto" w:fill="E2EFD9" w:themeFill="accent6" w:themeFillTint="33"/>
            <w:vAlign w:val="center"/>
          </w:tcPr>
          <w:p w14:paraId="55E00784" w14:textId="77777777" w:rsidR="00C12E61" w:rsidRPr="00B11670" w:rsidRDefault="00C12E61" w:rsidP="004C3BBF">
            <w:pPr>
              <w:spacing w:before="120"/>
              <w:jc w:val="right"/>
              <w:rPr>
                <w:rFonts w:cs="Arial"/>
              </w:rPr>
            </w:pPr>
          </w:p>
        </w:tc>
      </w:tr>
      <w:tr w:rsidR="00C12E61" w:rsidRPr="005D45B5" w14:paraId="571B9294" w14:textId="77777777" w:rsidTr="008B0AB2">
        <w:tc>
          <w:tcPr>
            <w:tcW w:w="10267" w:type="dxa"/>
            <w:gridSpan w:val="3"/>
            <w:shd w:val="clear" w:color="auto" w:fill="E2EFD9" w:themeFill="accent6" w:themeFillTint="33"/>
            <w:vAlign w:val="center"/>
          </w:tcPr>
          <w:p w14:paraId="5A49AA6A" w14:textId="77777777" w:rsidR="00C12E61" w:rsidRPr="005D45B5" w:rsidRDefault="00C12E61" w:rsidP="004C3BBF">
            <w:pPr>
              <w:spacing w:before="120" w:after="120"/>
              <w:jc w:val="center"/>
              <w:rPr>
                <w:rFonts w:cs="Arial"/>
                <w:b/>
                <w:szCs w:val="22"/>
              </w:rPr>
            </w:pPr>
            <w:r w:rsidRPr="005D45B5">
              <w:rPr>
                <w:rFonts w:cs="Arial"/>
                <w:b/>
                <w:szCs w:val="22"/>
              </w:rPr>
              <w:t>Tarif annuel : 24 000 €</w:t>
            </w:r>
          </w:p>
        </w:tc>
      </w:tr>
    </w:tbl>
    <w:p w14:paraId="57D30B16" w14:textId="77777777" w:rsidR="00C12E61" w:rsidRDefault="00C12E61" w:rsidP="00C12E61">
      <w:pPr>
        <w:rPr>
          <w:lang w:eastAsia="fr-FR"/>
        </w:rPr>
      </w:pPr>
    </w:p>
    <w:p w14:paraId="565D243B" w14:textId="77777777" w:rsidR="00C12E61" w:rsidRDefault="00C12E61" w:rsidP="00C12E61"/>
    <w:p w14:paraId="4E43D216" w14:textId="2ADE5FE6" w:rsidR="00C12E61" w:rsidRPr="00C12E61" w:rsidRDefault="00C12E61" w:rsidP="00C12E61">
      <w:pPr>
        <w:pStyle w:val="Titre3"/>
        <w:spacing w:after="240"/>
        <w:rPr>
          <w:rFonts w:ascii="Arial" w:hAnsi="Arial" w:cs="Arial"/>
          <w:b/>
          <w:noProof/>
        </w:rPr>
      </w:pPr>
      <w:r w:rsidRPr="00C12E61">
        <w:rPr>
          <w:rFonts w:ascii="Arial" w:hAnsi="Arial" w:cs="Arial"/>
          <w:b/>
          <w:color w:val="FFFFFF" w:themeColor="background1"/>
          <w:highlight w:val="red"/>
        </w:rPr>
        <w:t>Doc. 3 </w:t>
      </w:r>
      <w:r w:rsidRPr="00C12E61">
        <w:rPr>
          <w:rFonts w:ascii="Arial" w:hAnsi="Arial" w:cs="Arial"/>
          <w:b/>
          <w:color w:val="FFFFFF" w:themeColor="background1"/>
        </w:rPr>
        <w:t xml:space="preserve"> </w:t>
      </w:r>
      <w:r w:rsidRPr="00C12E61">
        <w:rPr>
          <w:rFonts w:ascii="Arial" w:hAnsi="Arial" w:cs="Arial"/>
          <w:b/>
          <w:noProof/>
        </w:rPr>
        <w:t>Liste des contrats souscrits par l’entreprise et de leurs échéances</w:t>
      </w:r>
    </w:p>
    <w:tbl>
      <w:tblPr>
        <w:tblStyle w:val="Grilledutableau"/>
        <w:tblW w:w="10261" w:type="dxa"/>
        <w:tblInd w:w="-1" w:type="dxa"/>
        <w:tblLook w:val="04A0" w:firstRow="1" w:lastRow="0" w:firstColumn="1" w:lastColumn="0" w:noHBand="0" w:noVBand="1"/>
      </w:tblPr>
      <w:tblGrid>
        <w:gridCol w:w="1306"/>
        <w:gridCol w:w="3321"/>
        <w:gridCol w:w="2515"/>
        <w:gridCol w:w="1643"/>
        <w:gridCol w:w="1476"/>
      </w:tblGrid>
      <w:tr w:rsidR="00C12E61" w:rsidRPr="0020338B" w14:paraId="2A8064E1" w14:textId="77777777" w:rsidTr="004C3BBF">
        <w:tc>
          <w:tcPr>
            <w:tcW w:w="1305" w:type="dxa"/>
            <w:shd w:val="clear" w:color="auto" w:fill="C5E0B3" w:themeFill="accent6" w:themeFillTint="66"/>
            <w:vAlign w:val="center"/>
          </w:tcPr>
          <w:p w14:paraId="1ADF69FD" w14:textId="77777777" w:rsidR="00C12E61" w:rsidRPr="0020338B" w:rsidRDefault="00C12E61" w:rsidP="004C3BBF">
            <w:pPr>
              <w:jc w:val="center"/>
              <w:rPr>
                <w:b/>
                <w:color w:val="000000" w:themeColor="text1"/>
              </w:rPr>
            </w:pPr>
            <w:r w:rsidRPr="0020338B">
              <w:rPr>
                <w:b/>
                <w:color w:val="000000" w:themeColor="text1"/>
              </w:rPr>
              <w:t>Assureur</w:t>
            </w:r>
          </w:p>
        </w:tc>
        <w:tc>
          <w:tcPr>
            <w:tcW w:w="3321" w:type="dxa"/>
            <w:shd w:val="clear" w:color="auto" w:fill="C5E0B3" w:themeFill="accent6" w:themeFillTint="66"/>
            <w:vAlign w:val="center"/>
          </w:tcPr>
          <w:p w14:paraId="07F1DA24" w14:textId="77777777" w:rsidR="00C12E61" w:rsidRPr="0020338B" w:rsidRDefault="00C12E61" w:rsidP="004C3BBF">
            <w:pPr>
              <w:jc w:val="center"/>
              <w:rPr>
                <w:b/>
                <w:color w:val="000000" w:themeColor="text1"/>
              </w:rPr>
            </w:pPr>
            <w:r w:rsidRPr="0020338B">
              <w:rPr>
                <w:b/>
                <w:color w:val="000000" w:themeColor="text1"/>
              </w:rPr>
              <w:t>Contrat</w:t>
            </w:r>
          </w:p>
        </w:tc>
        <w:tc>
          <w:tcPr>
            <w:tcW w:w="2515" w:type="dxa"/>
            <w:shd w:val="clear" w:color="auto" w:fill="C5E0B3" w:themeFill="accent6" w:themeFillTint="66"/>
            <w:vAlign w:val="center"/>
          </w:tcPr>
          <w:p w14:paraId="644A58A3" w14:textId="77777777" w:rsidR="00C12E61" w:rsidRPr="0020338B" w:rsidRDefault="00C12E61" w:rsidP="004C3BBF">
            <w:pPr>
              <w:jc w:val="center"/>
              <w:rPr>
                <w:b/>
                <w:color w:val="000000" w:themeColor="text1"/>
              </w:rPr>
            </w:pPr>
            <w:r w:rsidRPr="0020338B">
              <w:rPr>
                <w:b/>
                <w:color w:val="000000" w:themeColor="text1"/>
              </w:rPr>
              <w:t>Tarifs</w:t>
            </w:r>
          </w:p>
          <w:p w14:paraId="133762F3" w14:textId="77777777" w:rsidR="00C12E61" w:rsidRPr="0020338B" w:rsidRDefault="00C12E61" w:rsidP="004C3BBF">
            <w:pPr>
              <w:jc w:val="center"/>
              <w:rPr>
                <w:b/>
                <w:color w:val="000000" w:themeColor="text1"/>
              </w:rPr>
            </w:pPr>
            <w:r w:rsidRPr="0020338B">
              <w:rPr>
                <w:b/>
                <w:color w:val="000000" w:themeColor="text1"/>
              </w:rPr>
              <w:t>annuel</w:t>
            </w:r>
          </w:p>
        </w:tc>
        <w:tc>
          <w:tcPr>
            <w:tcW w:w="1643" w:type="dxa"/>
            <w:shd w:val="clear" w:color="auto" w:fill="C5E0B3" w:themeFill="accent6" w:themeFillTint="66"/>
            <w:vAlign w:val="center"/>
          </w:tcPr>
          <w:p w14:paraId="4EDBAFCF" w14:textId="77777777" w:rsidR="00C12E61" w:rsidRPr="0020338B" w:rsidRDefault="00C12E61" w:rsidP="004C3BBF">
            <w:pPr>
              <w:jc w:val="center"/>
              <w:rPr>
                <w:b/>
                <w:color w:val="000000" w:themeColor="text1"/>
              </w:rPr>
            </w:pPr>
            <w:r w:rsidRPr="0020338B">
              <w:rPr>
                <w:b/>
                <w:color w:val="000000" w:themeColor="text1"/>
              </w:rPr>
              <w:t>Modalités de</w:t>
            </w:r>
          </w:p>
          <w:p w14:paraId="5CF4867E" w14:textId="77777777" w:rsidR="00C12E61" w:rsidRPr="0020338B" w:rsidRDefault="00C12E61" w:rsidP="004C3BBF">
            <w:pPr>
              <w:jc w:val="center"/>
              <w:rPr>
                <w:b/>
                <w:color w:val="000000" w:themeColor="text1"/>
              </w:rPr>
            </w:pPr>
            <w:r w:rsidRPr="0020338B">
              <w:rPr>
                <w:b/>
                <w:color w:val="000000" w:themeColor="text1"/>
              </w:rPr>
              <w:t>paiement</w:t>
            </w:r>
          </w:p>
        </w:tc>
        <w:tc>
          <w:tcPr>
            <w:tcW w:w="1476" w:type="dxa"/>
            <w:shd w:val="clear" w:color="auto" w:fill="C5E0B3" w:themeFill="accent6" w:themeFillTint="66"/>
            <w:vAlign w:val="center"/>
          </w:tcPr>
          <w:p w14:paraId="2BD87800" w14:textId="77777777" w:rsidR="00C12E61" w:rsidRPr="0020338B" w:rsidRDefault="00C12E61" w:rsidP="004C3BBF">
            <w:pPr>
              <w:jc w:val="center"/>
              <w:rPr>
                <w:b/>
                <w:color w:val="000000" w:themeColor="text1"/>
              </w:rPr>
            </w:pPr>
            <w:r>
              <w:rPr>
                <w:rFonts w:cs="Arial"/>
                <w:b/>
                <w:color w:val="000000" w:themeColor="text1"/>
              </w:rPr>
              <w:t>É</w:t>
            </w:r>
            <w:r w:rsidRPr="0020338B">
              <w:rPr>
                <w:b/>
                <w:color w:val="000000" w:themeColor="text1"/>
              </w:rPr>
              <w:t>chéances</w:t>
            </w:r>
          </w:p>
        </w:tc>
      </w:tr>
      <w:tr w:rsidR="00C12E61" w:rsidRPr="003B093D" w14:paraId="1A830159" w14:textId="77777777" w:rsidTr="004C3BBF">
        <w:tc>
          <w:tcPr>
            <w:tcW w:w="1305" w:type="dxa"/>
            <w:vAlign w:val="center"/>
          </w:tcPr>
          <w:p w14:paraId="1AAACD27" w14:textId="77777777" w:rsidR="00C12E61" w:rsidRPr="003B093D" w:rsidRDefault="00C12E61" w:rsidP="004C3BBF">
            <w:pPr>
              <w:jc w:val="left"/>
            </w:pPr>
            <w:r w:rsidRPr="003B093D">
              <w:t>AX</w:t>
            </w:r>
            <w:r>
              <w:t>A</w:t>
            </w:r>
          </w:p>
        </w:tc>
        <w:tc>
          <w:tcPr>
            <w:tcW w:w="3321" w:type="dxa"/>
            <w:vAlign w:val="center"/>
          </w:tcPr>
          <w:p w14:paraId="258D1A9A" w14:textId="561114D2" w:rsidR="00C12E61" w:rsidRPr="003B093D" w:rsidRDefault="00C12E61" w:rsidP="004C3BBF">
            <w:pPr>
              <w:jc w:val="left"/>
            </w:pPr>
            <w:r w:rsidRPr="003B093D">
              <w:t>Multirisque (y compris exploitation)</w:t>
            </w:r>
          </w:p>
        </w:tc>
        <w:tc>
          <w:tcPr>
            <w:tcW w:w="2515" w:type="dxa"/>
            <w:vAlign w:val="center"/>
          </w:tcPr>
          <w:p w14:paraId="314239B9" w14:textId="77777777" w:rsidR="00C12E61" w:rsidRPr="003B093D" w:rsidRDefault="00C12E61" w:rsidP="004C3BBF">
            <w:pPr>
              <w:jc w:val="right"/>
            </w:pPr>
            <w:r w:rsidRPr="003B093D">
              <w:t>6 000 €</w:t>
            </w:r>
          </w:p>
        </w:tc>
        <w:tc>
          <w:tcPr>
            <w:tcW w:w="1643" w:type="dxa"/>
            <w:vAlign w:val="center"/>
          </w:tcPr>
          <w:p w14:paraId="54AD3563" w14:textId="77777777" w:rsidR="00C12E61" w:rsidRPr="003B093D" w:rsidRDefault="00C12E61" w:rsidP="004C3BBF">
            <w:pPr>
              <w:jc w:val="center"/>
            </w:pPr>
            <w:r>
              <w:t>S</w:t>
            </w:r>
            <w:r w:rsidRPr="003B093D">
              <w:t>emestriel</w:t>
            </w:r>
          </w:p>
        </w:tc>
        <w:tc>
          <w:tcPr>
            <w:tcW w:w="1476" w:type="dxa"/>
            <w:vAlign w:val="center"/>
          </w:tcPr>
          <w:p w14:paraId="13E6063D" w14:textId="77777777" w:rsidR="00C12E61" w:rsidRDefault="00C12E61" w:rsidP="004C3BBF">
            <w:pPr>
              <w:jc w:val="left"/>
            </w:pPr>
            <w:r>
              <w:t>1 juin</w:t>
            </w:r>
          </w:p>
          <w:p w14:paraId="7A89FB84" w14:textId="77777777" w:rsidR="00C12E61" w:rsidRPr="003B093D" w:rsidRDefault="00C12E61" w:rsidP="004C3BBF">
            <w:pPr>
              <w:jc w:val="left"/>
            </w:pPr>
            <w:r>
              <w:t>1 décembre</w:t>
            </w:r>
          </w:p>
        </w:tc>
      </w:tr>
      <w:tr w:rsidR="00C12E61" w:rsidRPr="003B093D" w14:paraId="485C6962" w14:textId="77777777" w:rsidTr="004C3BBF">
        <w:tc>
          <w:tcPr>
            <w:tcW w:w="1305" w:type="dxa"/>
            <w:vAlign w:val="center"/>
          </w:tcPr>
          <w:p w14:paraId="2ED779B1" w14:textId="77777777" w:rsidR="00C12E61" w:rsidRPr="003B093D" w:rsidRDefault="00C12E61" w:rsidP="004C3BBF">
            <w:pPr>
              <w:jc w:val="left"/>
            </w:pPr>
            <w:r w:rsidRPr="003B093D">
              <w:t>AX</w:t>
            </w:r>
            <w:r>
              <w:t>A</w:t>
            </w:r>
          </w:p>
        </w:tc>
        <w:tc>
          <w:tcPr>
            <w:tcW w:w="3321" w:type="dxa"/>
            <w:vAlign w:val="center"/>
          </w:tcPr>
          <w:p w14:paraId="1B644449" w14:textId="77777777" w:rsidR="00C12E61" w:rsidRPr="003B093D" w:rsidRDefault="00C12E61" w:rsidP="004C3BBF">
            <w:pPr>
              <w:jc w:val="left"/>
            </w:pPr>
            <w:r w:rsidRPr="003B093D">
              <w:t>Contrat flotte automobile</w:t>
            </w:r>
          </w:p>
        </w:tc>
        <w:tc>
          <w:tcPr>
            <w:tcW w:w="2515" w:type="dxa"/>
            <w:vAlign w:val="center"/>
          </w:tcPr>
          <w:p w14:paraId="709C54D8" w14:textId="77777777" w:rsidR="00C12E61" w:rsidRPr="003B093D" w:rsidRDefault="00C12E61" w:rsidP="004C3BBF">
            <w:pPr>
              <w:jc w:val="right"/>
            </w:pPr>
            <w:r w:rsidRPr="003B093D">
              <w:t>2 000 €</w:t>
            </w:r>
          </w:p>
        </w:tc>
        <w:tc>
          <w:tcPr>
            <w:tcW w:w="1643" w:type="dxa"/>
            <w:vAlign w:val="center"/>
          </w:tcPr>
          <w:p w14:paraId="386FE8BE" w14:textId="77777777" w:rsidR="00C12E61" w:rsidRPr="003B093D" w:rsidRDefault="00C12E61" w:rsidP="004C3BBF">
            <w:pPr>
              <w:jc w:val="center"/>
            </w:pPr>
            <w:r>
              <w:t>S</w:t>
            </w:r>
            <w:r w:rsidRPr="003B093D">
              <w:t>emestriel</w:t>
            </w:r>
          </w:p>
        </w:tc>
        <w:tc>
          <w:tcPr>
            <w:tcW w:w="1476" w:type="dxa"/>
            <w:vAlign w:val="center"/>
          </w:tcPr>
          <w:p w14:paraId="384087AE" w14:textId="77777777" w:rsidR="00C12E61" w:rsidRDefault="00C12E61" w:rsidP="004C3BBF">
            <w:pPr>
              <w:jc w:val="left"/>
            </w:pPr>
            <w:r>
              <w:t>1 mars</w:t>
            </w:r>
          </w:p>
          <w:p w14:paraId="1EA20311" w14:textId="77777777" w:rsidR="00C12E61" w:rsidRPr="003B093D" w:rsidRDefault="00C12E61" w:rsidP="004C3BBF">
            <w:pPr>
              <w:jc w:val="left"/>
            </w:pPr>
            <w:r>
              <w:t>1 septembre</w:t>
            </w:r>
          </w:p>
        </w:tc>
      </w:tr>
      <w:tr w:rsidR="00C12E61" w:rsidRPr="003B093D" w14:paraId="2EA8514A" w14:textId="77777777" w:rsidTr="004C3BBF">
        <w:tc>
          <w:tcPr>
            <w:tcW w:w="1305" w:type="dxa"/>
            <w:vAlign w:val="center"/>
          </w:tcPr>
          <w:p w14:paraId="1C43B603" w14:textId="77777777" w:rsidR="00C12E61" w:rsidRPr="003B093D" w:rsidRDefault="00C12E61" w:rsidP="004C3BBF">
            <w:pPr>
              <w:jc w:val="left"/>
            </w:pPr>
            <w:r w:rsidRPr="003B093D">
              <w:t>Group</w:t>
            </w:r>
            <w:r>
              <w:t>a</w:t>
            </w:r>
            <w:r w:rsidRPr="003B093D">
              <w:t>ma</w:t>
            </w:r>
          </w:p>
        </w:tc>
        <w:tc>
          <w:tcPr>
            <w:tcW w:w="3321" w:type="dxa"/>
            <w:vAlign w:val="center"/>
          </w:tcPr>
          <w:p w14:paraId="6CAA49A9" w14:textId="77777777" w:rsidR="00C12E61" w:rsidRPr="003B093D" w:rsidRDefault="00C12E61" w:rsidP="004C3BBF">
            <w:pPr>
              <w:jc w:val="left"/>
            </w:pPr>
            <w:r w:rsidRPr="003B093D">
              <w:t>Dommages subis par le personnel</w:t>
            </w:r>
          </w:p>
        </w:tc>
        <w:tc>
          <w:tcPr>
            <w:tcW w:w="2515" w:type="dxa"/>
            <w:vAlign w:val="center"/>
          </w:tcPr>
          <w:p w14:paraId="5BD8B78D" w14:textId="77777777" w:rsidR="00C12E61" w:rsidRPr="003B093D" w:rsidRDefault="00C12E61" w:rsidP="004C3BBF">
            <w:pPr>
              <w:jc w:val="right"/>
            </w:pPr>
            <w:r w:rsidRPr="003B093D">
              <w:t>4 000 €</w:t>
            </w:r>
          </w:p>
        </w:tc>
        <w:tc>
          <w:tcPr>
            <w:tcW w:w="1643" w:type="dxa"/>
            <w:vAlign w:val="center"/>
          </w:tcPr>
          <w:p w14:paraId="24069070" w14:textId="77777777" w:rsidR="00C12E61" w:rsidRPr="003B093D" w:rsidRDefault="00C12E61" w:rsidP="004C3BBF">
            <w:pPr>
              <w:jc w:val="center"/>
            </w:pPr>
            <w:r w:rsidRPr="003B093D">
              <w:t>Semestriel</w:t>
            </w:r>
          </w:p>
        </w:tc>
        <w:tc>
          <w:tcPr>
            <w:tcW w:w="1476" w:type="dxa"/>
            <w:vAlign w:val="center"/>
          </w:tcPr>
          <w:p w14:paraId="2ADFE7F7" w14:textId="77777777" w:rsidR="00C12E61" w:rsidRDefault="00C12E61" w:rsidP="004C3BBF">
            <w:pPr>
              <w:jc w:val="left"/>
            </w:pPr>
            <w:r>
              <w:t>1 janvier</w:t>
            </w:r>
          </w:p>
          <w:p w14:paraId="6AD2A8F3" w14:textId="77777777" w:rsidR="00C12E61" w:rsidRPr="003B093D" w:rsidRDefault="00C12E61" w:rsidP="004C3BBF">
            <w:pPr>
              <w:jc w:val="left"/>
            </w:pPr>
            <w:r>
              <w:t>1 juillet</w:t>
            </w:r>
          </w:p>
        </w:tc>
      </w:tr>
      <w:tr w:rsidR="00C12E61" w:rsidRPr="003B093D" w14:paraId="17856C21" w14:textId="77777777" w:rsidTr="004C3BBF">
        <w:tc>
          <w:tcPr>
            <w:tcW w:w="1305" w:type="dxa"/>
            <w:vAlign w:val="center"/>
          </w:tcPr>
          <w:p w14:paraId="0A4343A7" w14:textId="77777777" w:rsidR="00C12E61" w:rsidRPr="003B093D" w:rsidRDefault="00C12E61" w:rsidP="004C3BBF">
            <w:pPr>
              <w:jc w:val="left"/>
            </w:pPr>
            <w:r>
              <w:t>Groupa</w:t>
            </w:r>
            <w:r w:rsidRPr="003B093D">
              <w:t>ma</w:t>
            </w:r>
          </w:p>
        </w:tc>
        <w:tc>
          <w:tcPr>
            <w:tcW w:w="3321" w:type="dxa"/>
            <w:vAlign w:val="center"/>
          </w:tcPr>
          <w:p w14:paraId="518700E2" w14:textId="77777777" w:rsidR="00C12E61" w:rsidRPr="003B093D" w:rsidRDefault="00C12E61" w:rsidP="004C3BBF">
            <w:pPr>
              <w:jc w:val="left"/>
            </w:pPr>
            <w:r w:rsidRPr="003B093D">
              <w:t xml:space="preserve">Prévoyance </w:t>
            </w:r>
            <w:r>
              <w:t xml:space="preserve">(décès, invalidité…) + </w:t>
            </w:r>
            <w:r w:rsidRPr="003B093D">
              <w:t>santé entreprise</w:t>
            </w:r>
          </w:p>
        </w:tc>
        <w:tc>
          <w:tcPr>
            <w:tcW w:w="2515" w:type="dxa"/>
            <w:vAlign w:val="center"/>
          </w:tcPr>
          <w:p w14:paraId="4339C62D" w14:textId="77777777" w:rsidR="00C12E61" w:rsidRPr="003B093D" w:rsidRDefault="00C12E61" w:rsidP="004C3BBF">
            <w:pPr>
              <w:jc w:val="right"/>
            </w:pPr>
            <w:r>
              <w:t>4</w:t>
            </w:r>
            <w:r w:rsidRPr="003B093D">
              <w:t xml:space="preserve">0 € </w:t>
            </w:r>
            <w:r>
              <w:t>/</w:t>
            </w:r>
            <w:r w:rsidRPr="003B093D">
              <w:t xml:space="preserve"> mois </w:t>
            </w:r>
            <w:r>
              <w:t>/</w:t>
            </w:r>
            <w:r w:rsidRPr="003B093D">
              <w:t xml:space="preserve"> sal</w:t>
            </w:r>
            <w:r>
              <w:t>arié (15</w:t>
            </w:r>
            <w:r w:rsidRPr="003B093D">
              <w:t xml:space="preserve"> salarié</w:t>
            </w:r>
            <w:r>
              <w:t>s)</w:t>
            </w:r>
          </w:p>
        </w:tc>
        <w:tc>
          <w:tcPr>
            <w:tcW w:w="1643" w:type="dxa"/>
            <w:vAlign w:val="center"/>
          </w:tcPr>
          <w:p w14:paraId="1A7491A7" w14:textId="0480B0F1" w:rsidR="00C12E61" w:rsidRPr="003B093D" w:rsidRDefault="008B0AB2" w:rsidP="004C3BBF">
            <w:pPr>
              <w:jc w:val="center"/>
            </w:pPr>
            <w:r>
              <w:t>T</w:t>
            </w:r>
            <w:r w:rsidR="00C12E61" w:rsidRPr="003B093D">
              <w:t>rimestriel</w:t>
            </w:r>
          </w:p>
        </w:tc>
        <w:tc>
          <w:tcPr>
            <w:tcW w:w="1476" w:type="dxa"/>
            <w:vAlign w:val="center"/>
          </w:tcPr>
          <w:p w14:paraId="05047D54" w14:textId="77777777" w:rsidR="00C12E61" w:rsidRDefault="00C12E61" w:rsidP="004C3BBF">
            <w:pPr>
              <w:jc w:val="left"/>
            </w:pPr>
            <w:r>
              <w:t>1</w:t>
            </w:r>
            <w:r>
              <w:rPr>
                <w:vertAlign w:val="superscript"/>
              </w:rPr>
              <w:t xml:space="preserve"> </w:t>
            </w:r>
            <w:r>
              <w:t>janvier</w:t>
            </w:r>
          </w:p>
          <w:p w14:paraId="1848A1D6" w14:textId="0556C235" w:rsidR="00C12E61" w:rsidRDefault="00C12E61" w:rsidP="004C3BBF">
            <w:pPr>
              <w:jc w:val="left"/>
            </w:pPr>
            <w:r>
              <w:t>1 avril</w:t>
            </w:r>
          </w:p>
          <w:p w14:paraId="35754990" w14:textId="77777777" w:rsidR="00C12E61" w:rsidRDefault="00C12E61" w:rsidP="004C3BBF">
            <w:pPr>
              <w:jc w:val="left"/>
            </w:pPr>
            <w:r>
              <w:t xml:space="preserve">1 juillet </w:t>
            </w:r>
          </w:p>
          <w:p w14:paraId="6F93E357" w14:textId="77777777" w:rsidR="00C12E61" w:rsidRPr="003B093D" w:rsidRDefault="00C12E61" w:rsidP="004C3BBF">
            <w:pPr>
              <w:jc w:val="left"/>
            </w:pPr>
            <w:r>
              <w:t>1 octobre</w:t>
            </w:r>
          </w:p>
        </w:tc>
      </w:tr>
      <w:tr w:rsidR="00C12E61" w:rsidRPr="003B093D" w14:paraId="6CAF8524" w14:textId="77777777" w:rsidTr="004C3BBF">
        <w:tc>
          <w:tcPr>
            <w:tcW w:w="1305" w:type="dxa"/>
            <w:vAlign w:val="center"/>
          </w:tcPr>
          <w:p w14:paraId="7491FAA3" w14:textId="77777777" w:rsidR="00C12E61" w:rsidRPr="003B093D" w:rsidRDefault="00C12E61" w:rsidP="004C3BBF">
            <w:pPr>
              <w:jc w:val="left"/>
            </w:pPr>
            <w:r>
              <w:t>A</w:t>
            </w:r>
            <w:r w:rsidRPr="003B093D">
              <w:t>lli</w:t>
            </w:r>
            <w:r>
              <w:t>a</w:t>
            </w:r>
            <w:r w:rsidRPr="003B093D">
              <w:t>nz</w:t>
            </w:r>
          </w:p>
        </w:tc>
        <w:tc>
          <w:tcPr>
            <w:tcW w:w="3321" w:type="dxa"/>
            <w:vAlign w:val="center"/>
          </w:tcPr>
          <w:p w14:paraId="1F493873" w14:textId="77777777" w:rsidR="00C12E61" w:rsidRPr="003B093D" w:rsidRDefault="00C12E61" w:rsidP="004C3BBF">
            <w:pPr>
              <w:jc w:val="left"/>
            </w:pPr>
            <w:r w:rsidRPr="003B093D">
              <w:t>Assurance des biens appartenant à des tiers</w:t>
            </w:r>
          </w:p>
        </w:tc>
        <w:tc>
          <w:tcPr>
            <w:tcW w:w="2515" w:type="dxa"/>
            <w:vAlign w:val="center"/>
          </w:tcPr>
          <w:p w14:paraId="570769B8" w14:textId="77777777" w:rsidR="00C12E61" w:rsidRPr="003B093D" w:rsidRDefault="00C12E61" w:rsidP="004C3BBF">
            <w:pPr>
              <w:jc w:val="right"/>
            </w:pPr>
            <w:r w:rsidRPr="003B093D">
              <w:t>1 500 €</w:t>
            </w:r>
          </w:p>
        </w:tc>
        <w:tc>
          <w:tcPr>
            <w:tcW w:w="1643" w:type="dxa"/>
            <w:vAlign w:val="center"/>
          </w:tcPr>
          <w:p w14:paraId="526F9ECB" w14:textId="14572BE7" w:rsidR="00C12E61" w:rsidRPr="003B093D" w:rsidRDefault="008B0AB2" w:rsidP="004C3BBF">
            <w:pPr>
              <w:jc w:val="center"/>
            </w:pPr>
            <w:r>
              <w:t>A</w:t>
            </w:r>
            <w:r w:rsidR="00C12E61">
              <w:t>nnuel</w:t>
            </w:r>
          </w:p>
        </w:tc>
        <w:tc>
          <w:tcPr>
            <w:tcW w:w="1476" w:type="dxa"/>
            <w:vAlign w:val="center"/>
          </w:tcPr>
          <w:p w14:paraId="1F2BC19E" w14:textId="77777777" w:rsidR="00C12E61" w:rsidRPr="003B093D" w:rsidRDefault="00C12E61" w:rsidP="004C3BBF">
            <w:pPr>
              <w:jc w:val="left"/>
            </w:pPr>
            <w:r>
              <w:t>1 sept</w:t>
            </w:r>
          </w:p>
        </w:tc>
      </w:tr>
      <w:tr w:rsidR="00C12E61" w:rsidRPr="003B093D" w14:paraId="0489B1E9" w14:textId="77777777" w:rsidTr="004C3BBF">
        <w:tc>
          <w:tcPr>
            <w:tcW w:w="1305" w:type="dxa"/>
            <w:vAlign w:val="center"/>
          </w:tcPr>
          <w:p w14:paraId="24939F81" w14:textId="77777777" w:rsidR="00C12E61" w:rsidRPr="003B093D" w:rsidRDefault="00C12E61" w:rsidP="004C3BBF">
            <w:pPr>
              <w:jc w:val="left"/>
            </w:pPr>
            <w:r>
              <w:t>Al</w:t>
            </w:r>
            <w:r w:rsidRPr="003B093D">
              <w:t>li</w:t>
            </w:r>
            <w:r>
              <w:t>a</w:t>
            </w:r>
            <w:r w:rsidRPr="003B093D">
              <w:t>nz</w:t>
            </w:r>
          </w:p>
        </w:tc>
        <w:tc>
          <w:tcPr>
            <w:tcW w:w="3321" w:type="dxa"/>
            <w:vAlign w:val="center"/>
          </w:tcPr>
          <w:p w14:paraId="4E5AE138" w14:textId="77777777" w:rsidR="00C12E61" w:rsidRPr="003B093D" w:rsidRDefault="00C12E61" w:rsidP="004C3BBF">
            <w:pPr>
              <w:jc w:val="left"/>
            </w:pPr>
            <w:r w:rsidRPr="003B093D">
              <w:t>Responsabilité civile après travaux et après livraison</w:t>
            </w:r>
          </w:p>
        </w:tc>
        <w:tc>
          <w:tcPr>
            <w:tcW w:w="2515" w:type="dxa"/>
            <w:vAlign w:val="center"/>
          </w:tcPr>
          <w:p w14:paraId="0F7EF484" w14:textId="77777777" w:rsidR="00C12E61" w:rsidRPr="003B093D" w:rsidRDefault="00C12E61" w:rsidP="004C3BBF">
            <w:pPr>
              <w:jc w:val="right"/>
            </w:pPr>
            <w:r w:rsidRPr="003B093D">
              <w:t>3 000 €</w:t>
            </w:r>
          </w:p>
        </w:tc>
        <w:tc>
          <w:tcPr>
            <w:tcW w:w="1643" w:type="dxa"/>
            <w:vAlign w:val="center"/>
          </w:tcPr>
          <w:p w14:paraId="14773742" w14:textId="689F0E94" w:rsidR="00C12E61" w:rsidRPr="003B093D" w:rsidRDefault="008B0AB2" w:rsidP="004C3BBF">
            <w:pPr>
              <w:jc w:val="center"/>
            </w:pPr>
            <w:r>
              <w:t>T</w:t>
            </w:r>
            <w:r w:rsidR="00C12E61">
              <w:t>rimestriel</w:t>
            </w:r>
          </w:p>
        </w:tc>
        <w:tc>
          <w:tcPr>
            <w:tcW w:w="1476" w:type="dxa"/>
            <w:vAlign w:val="center"/>
          </w:tcPr>
          <w:p w14:paraId="3C8FA782" w14:textId="77777777" w:rsidR="00C12E61" w:rsidRDefault="00C12E61" w:rsidP="004C3BBF">
            <w:pPr>
              <w:jc w:val="left"/>
            </w:pPr>
            <w:r>
              <w:t>1</w:t>
            </w:r>
            <w:r>
              <w:rPr>
                <w:vertAlign w:val="superscript"/>
              </w:rPr>
              <w:t xml:space="preserve"> </w:t>
            </w:r>
            <w:r>
              <w:t xml:space="preserve">février </w:t>
            </w:r>
          </w:p>
          <w:p w14:paraId="6E19F978" w14:textId="59BC4BBD" w:rsidR="00C12E61" w:rsidRDefault="00C12E61" w:rsidP="004C3BBF">
            <w:pPr>
              <w:jc w:val="left"/>
            </w:pPr>
            <w:r>
              <w:t>1 mai</w:t>
            </w:r>
          </w:p>
          <w:p w14:paraId="7584693A" w14:textId="77777777" w:rsidR="00C12E61" w:rsidRDefault="00C12E61" w:rsidP="004C3BBF">
            <w:pPr>
              <w:jc w:val="left"/>
            </w:pPr>
            <w:r>
              <w:t>1 aout</w:t>
            </w:r>
          </w:p>
          <w:p w14:paraId="73C5C0FD" w14:textId="77777777" w:rsidR="00C12E61" w:rsidRPr="003B093D" w:rsidRDefault="00C12E61" w:rsidP="004C3BBF">
            <w:pPr>
              <w:jc w:val="left"/>
            </w:pPr>
            <w:r>
              <w:t>1 novembre</w:t>
            </w:r>
          </w:p>
        </w:tc>
      </w:tr>
    </w:tbl>
    <w:p w14:paraId="2238B5F5" w14:textId="6A39DB4E" w:rsidR="00C414EE" w:rsidRPr="00C414EE" w:rsidRDefault="00C414EE" w:rsidP="00C414EE">
      <w:pPr>
        <w:pStyle w:val="Titre2"/>
        <w:rPr>
          <w:noProof/>
          <w:sz w:val="24"/>
          <w:szCs w:val="24"/>
        </w:rPr>
      </w:pPr>
      <w:r w:rsidRPr="00C414EE">
        <w:rPr>
          <w:noProof/>
          <w:sz w:val="24"/>
          <w:szCs w:val="24"/>
        </w:rPr>
        <w:lastRenderedPageBreak/>
        <w:t>Travail à faire</w:t>
      </w:r>
    </w:p>
    <w:p w14:paraId="0DC97598" w14:textId="77777777" w:rsidR="00DD5B98" w:rsidRPr="00DD5B98" w:rsidRDefault="00DD5B98" w:rsidP="00DD5B98">
      <w:pPr>
        <w:pStyle w:val="Paragraphedeliste"/>
        <w:numPr>
          <w:ilvl w:val="0"/>
          <w:numId w:val="14"/>
        </w:numPr>
        <w:autoSpaceDE w:val="0"/>
        <w:autoSpaceDN w:val="0"/>
        <w:adjustRightInd w:val="0"/>
        <w:rPr>
          <w:rFonts w:cs="Arial"/>
          <w:b/>
          <w:bCs/>
          <w:lang w:eastAsia="fr-FR"/>
        </w:rPr>
      </w:pPr>
      <w:r w:rsidRPr="00DD5B98">
        <w:rPr>
          <w:rFonts w:cs="Arial"/>
          <w:b/>
          <w:bCs/>
          <w:lang w:eastAsia="fr-FR"/>
        </w:rPr>
        <w:t>Comparez la proposition de Generali avec le contrat actuel AXA et faites part de vos commentaires à M. Tardy (documents 1 et 2).</w:t>
      </w:r>
    </w:p>
    <w:p w14:paraId="5CF2A03C" w14:textId="6EC54563" w:rsidR="00A2143D" w:rsidRDefault="00A2143D" w:rsidP="00A2143D">
      <w:pPr>
        <w:autoSpaceDE w:val="0"/>
        <w:autoSpaceDN w:val="0"/>
        <w:adjustRightInd w:val="0"/>
        <w:rPr>
          <w:rFonts w:cs="Arial"/>
          <w:b/>
          <w:bCs/>
          <w:lang w:eastAsia="fr-FR"/>
        </w:rPr>
      </w:pPr>
    </w:p>
    <w:p w14:paraId="2103DCE7" w14:textId="2C3E6029" w:rsidR="00A2143D" w:rsidRDefault="00A2143D" w:rsidP="00A2143D">
      <w:pPr>
        <w:autoSpaceDE w:val="0"/>
        <w:autoSpaceDN w:val="0"/>
        <w:adjustRightInd w:val="0"/>
        <w:rPr>
          <w:rFonts w:cs="Arial"/>
          <w:b/>
          <w:bCs/>
          <w:lang w:eastAsia="fr-FR"/>
        </w:rPr>
      </w:pPr>
    </w:p>
    <w:p w14:paraId="6FFBE15A" w14:textId="2D013F72" w:rsidR="00A2143D" w:rsidRDefault="00A2143D" w:rsidP="00A2143D">
      <w:pPr>
        <w:autoSpaceDE w:val="0"/>
        <w:autoSpaceDN w:val="0"/>
        <w:adjustRightInd w:val="0"/>
        <w:rPr>
          <w:rFonts w:cs="Arial"/>
          <w:b/>
          <w:bCs/>
          <w:lang w:eastAsia="fr-FR"/>
        </w:rPr>
      </w:pPr>
    </w:p>
    <w:p w14:paraId="23EBB4BC" w14:textId="24814C3E" w:rsidR="00A2143D" w:rsidRDefault="00A2143D" w:rsidP="00A2143D">
      <w:pPr>
        <w:autoSpaceDE w:val="0"/>
        <w:autoSpaceDN w:val="0"/>
        <w:adjustRightInd w:val="0"/>
        <w:rPr>
          <w:rFonts w:cs="Arial"/>
          <w:b/>
          <w:bCs/>
          <w:lang w:eastAsia="fr-FR"/>
        </w:rPr>
      </w:pPr>
    </w:p>
    <w:p w14:paraId="0F56A5FE" w14:textId="0A2AAEFC" w:rsidR="00A2143D" w:rsidRDefault="00A2143D" w:rsidP="00A2143D">
      <w:pPr>
        <w:autoSpaceDE w:val="0"/>
        <w:autoSpaceDN w:val="0"/>
        <w:adjustRightInd w:val="0"/>
        <w:rPr>
          <w:rFonts w:cs="Arial"/>
          <w:b/>
          <w:bCs/>
          <w:lang w:eastAsia="fr-FR"/>
        </w:rPr>
      </w:pPr>
    </w:p>
    <w:p w14:paraId="2287A562" w14:textId="48E05E0B" w:rsidR="00A2143D" w:rsidRDefault="00A2143D" w:rsidP="00A2143D">
      <w:pPr>
        <w:autoSpaceDE w:val="0"/>
        <w:autoSpaceDN w:val="0"/>
        <w:adjustRightInd w:val="0"/>
        <w:rPr>
          <w:rFonts w:cs="Arial"/>
          <w:b/>
          <w:bCs/>
          <w:lang w:eastAsia="fr-FR"/>
        </w:rPr>
      </w:pPr>
    </w:p>
    <w:p w14:paraId="6284A3BC" w14:textId="158A580A" w:rsidR="00A2143D" w:rsidRDefault="00A2143D" w:rsidP="00A2143D">
      <w:pPr>
        <w:autoSpaceDE w:val="0"/>
        <w:autoSpaceDN w:val="0"/>
        <w:adjustRightInd w:val="0"/>
        <w:rPr>
          <w:rFonts w:cs="Arial"/>
          <w:b/>
          <w:bCs/>
          <w:lang w:eastAsia="fr-FR"/>
        </w:rPr>
      </w:pPr>
    </w:p>
    <w:p w14:paraId="77602AF5" w14:textId="3F5CE31A" w:rsidR="00A2143D" w:rsidRDefault="00A2143D" w:rsidP="00A2143D">
      <w:pPr>
        <w:autoSpaceDE w:val="0"/>
        <w:autoSpaceDN w:val="0"/>
        <w:adjustRightInd w:val="0"/>
        <w:rPr>
          <w:rFonts w:cs="Arial"/>
          <w:b/>
          <w:bCs/>
          <w:lang w:eastAsia="fr-FR"/>
        </w:rPr>
      </w:pPr>
    </w:p>
    <w:p w14:paraId="69813E13" w14:textId="1E3752BE" w:rsidR="00A2143D" w:rsidRDefault="00A2143D" w:rsidP="00A2143D">
      <w:pPr>
        <w:autoSpaceDE w:val="0"/>
        <w:autoSpaceDN w:val="0"/>
        <w:adjustRightInd w:val="0"/>
        <w:rPr>
          <w:rFonts w:cs="Arial"/>
          <w:b/>
          <w:bCs/>
          <w:lang w:eastAsia="fr-FR"/>
        </w:rPr>
      </w:pPr>
    </w:p>
    <w:p w14:paraId="4B6E15D2" w14:textId="5947E81D" w:rsidR="00A2143D" w:rsidRDefault="00A2143D" w:rsidP="00A2143D">
      <w:pPr>
        <w:autoSpaceDE w:val="0"/>
        <w:autoSpaceDN w:val="0"/>
        <w:adjustRightInd w:val="0"/>
        <w:rPr>
          <w:rFonts w:cs="Arial"/>
          <w:b/>
          <w:bCs/>
          <w:lang w:eastAsia="fr-FR"/>
        </w:rPr>
      </w:pPr>
    </w:p>
    <w:p w14:paraId="36A07DAC" w14:textId="460200DB" w:rsidR="00A2143D" w:rsidRDefault="00A2143D" w:rsidP="00A2143D">
      <w:pPr>
        <w:autoSpaceDE w:val="0"/>
        <w:autoSpaceDN w:val="0"/>
        <w:adjustRightInd w:val="0"/>
        <w:rPr>
          <w:rFonts w:cs="Arial"/>
          <w:b/>
          <w:bCs/>
          <w:lang w:eastAsia="fr-FR"/>
        </w:rPr>
      </w:pPr>
    </w:p>
    <w:p w14:paraId="55E7B570" w14:textId="77777777" w:rsidR="00A2143D" w:rsidRPr="00A2143D" w:rsidRDefault="00A2143D" w:rsidP="00A2143D">
      <w:pPr>
        <w:autoSpaceDE w:val="0"/>
        <w:autoSpaceDN w:val="0"/>
        <w:adjustRightInd w:val="0"/>
        <w:rPr>
          <w:rFonts w:cs="Arial"/>
          <w:b/>
          <w:bCs/>
          <w:lang w:eastAsia="fr-FR"/>
        </w:rPr>
      </w:pPr>
    </w:p>
    <w:p w14:paraId="7B61466A" w14:textId="77777777" w:rsidR="00A2143D" w:rsidRPr="00A2143D" w:rsidRDefault="00A2143D" w:rsidP="00A2143D">
      <w:pPr>
        <w:pStyle w:val="Paragraphedeliste"/>
        <w:numPr>
          <w:ilvl w:val="0"/>
          <w:numId w:val="14"/>
        </w:numPr>
        <w:spacing w:before="120"/>
        <w:ind w:left="426" w:hanging="426"/>
        <w:rPr>
          <w:rFonts w:cs="Arial"/>
          <w:b/>
          <w:bCs/>
          <w:noProof/>
        </w:rPr>
      </w:pPr>
      <w:r w:rsidRPr="00A2143D">
        <w:rPr>
          <w:rFonts w:cs="Arial"/>
          <w:b/>
          <w:bCs/>
          <w:noProof/>
        </w:rPr>
        <w:t>Concevez un tableau qui récapitule les différents contrats souscrits par l’entreprise et qui permette un suivi des échéances de règlement.</w:t>
      </w:r>
    </w:p>
    <w:p w14:paraId="713BA720" w14:textId="77777777" w:rsidR="00C414EE" w:rsidRDefault="00C414EE" w:rsidP="00C414EE">
      <w:pPr>
        <w:pStyle w:val="Titre2"/>
      </w:pPr>
    </w:p>
    <w:p w14:paraId="18875DA7" w14:textId="77777777" w:rsidR="00C414EE" w:rsidRDefault="00C414EE" w:rsidP="00C414EE">
      <w:pPr>
        <w:pStyle w:val="Titre2"/>
      </w:pPr>
    </w:p>
    <w:p w14:paraId="1C20A038" w14:textId="77777777" w:rsidR="00C414EE" w:rsidRDefault="00C414EE" w:rsidP="00C414EE">
      <w:pPr>
        <w:pStyle w:val="Titre2"/>
      </w:pPr>
    </w:p>
    <w:p w14:paraId="2AAF41F0" w14:textId="77777777" w:rsidR="00C414EE" w:rsidRDefault="00C414EE" w:rsidP="00C414EE">
      <w:pPr>
        <w:pStyle w:val="Titre2"/>
      </w:pPr>
    </w:p>
    <w:p w14:paraId="20815381" w14:textId="77777777" w:rsidR="00C414EE" w:rsidRDefault="00C414EE" w:rsidP="00C414EE">
      <w:pPr>
        <w:pStyle w:val="Titre2"/>
      </w:pPr>
    </w:p>
    <w:p w14:paraId="1C6D4200" w14:textId="77777777" w:rsidR="00C414EE" w:rsidRDefault="00C414EE" w:rsidP="00C414EE">
      <w:pPr>
        <w:pStyle w:val="Titre2"/>
      </w:pPr>
    </w:p>
    <w:p w14:paraId="2689AE14" w14:textId="77777777" w:rsidR="00C414EE" w:rsidRDefault="00C414EE" w:rsidP="00C414EE">
      <w:pPr>
        <w:pStyle w:val="Titre2"/>
      </w:pPr>
    </w:p>
    <w:p w14:paraId="0AE7F1F6" w14:textId="77777777" w:rsidR="00C414EE" w:rsidRDefault="00C414EE" w:rsidP="00C414EE">
      <w:pPr>
        <w:pStyle w:val="Titre2"/>
      </w:pPr>
    </w:p>
    <w:sectPr w:rsidR="00C414EE" w:rsidSect="00A2143D">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5127"/>
    <w:multiLevelType w:val="hybridMultilevel"/>
    <w:tmpl w:val="338024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281FA9"/>
    <w:multiLevelType w:val="hybridMultilevel"/>
    <w:tmpl w:val="470289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4F6D81"/>
    <w:multiLevelType w:val="hybridMultilevel"/>
    <w:tmpl w:val="75D610FC"/>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A745961"/>
    <w:multiLevelType w:val="hybridMultilevel"/>
    <w:tmpl w:val="2AF687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D026ED0"/>
    <w:multiLevelType w:val="hybridMultilevel"/>
    <w:tmpl w:val="DA4ADB0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DAC5B4E"/>
    <w:multiLevelType w:val="hybridMultilevel"/>
    <w:tmpl w:val="3066422C"/>
    <w:lvl w:ilvl="0" w:tplc="7BDE537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300EE7"/>
    <w:multiLevelType w:val="hybridMultilevel"/>
    <w:tmpl w:val="EC94AF8C"/>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4054F4F"/>
    <w:multiLevelType w:val="hybridMultilevel"/>
    <w:tmpl w:val="846482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4FF365B"/>
    <w:multiLevelType w:val="hybridMultilevel"/>
    <w:tmpl w:val="1DE0825E"/>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522113EE"/>
    <w:multiLevelType w:val="hybridMultilevel"/>
    <w:tmpl w:val="AAD08054"/>
    <w:lvl w:ilvl="0" w:tplc="10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47859DD"/>
    <w:multiLevelType w:val="hybridMultilevel"/>
    <w:tmpl w:val="63AAFD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59346FEC"/>
    <w:multiLevelType w:val="hybridMultilevel"/>
    <w:tmpl w:val="0B1C9E10"/>
    <w:lvl w:ilvl="0" w:tplc="41B8896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DCC13C4"/>
    <w:multiLevelType w:val="hybridMultilevel"/>
    <w:tmpl w:val="1460F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1D0939"/>
    <w:multiLevelType w:val="hybridMultilevel"/>
    <w:tmpl w:val="232EFE38"/>
    <w:lvl w:ilvl="0" w:tplc="A2203ED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DBC6FAF"/>
    <w:multiLevelType w:val="hybridMultilevel"/>
    <w:tmpl w:val="D2E64D14"/>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07659497">
    <w:abstractNumId w:val="10"/>
  </w:num>
  <w:num w:numId="2" w16cid:durableId="612980059">
    <w:abstractNumId w:val="1"/>
  </w:num>
  <w:num w:numId="3" w16cid:durableId="563755862">
    <w:abstractNumId w:val="6"/>
  </w:num>
  <w:num w:numId="4" w16cid:durableId="607546573">
    <w:abstractNumId w:val="2"/>
  </w:num>
  <w:num w:numId="5" w16cid:durableId="567689642">
    <w:abstractNumId w:val="14"/>
  </w:num>
  <w:num w:numId="6" w16cid:durableId="39398607">
    <w:abstractNumId w:val="8"/>
  </w:num>
  <w:num w:numId="7" w16cid:durableId="2002660770">
    <w:abstractNumId w:val="0"/>
  </w:num>
  <w:num w:numId="8" w16cid:durableId="1619338206">
    <w:abstractNumId w:val="4"/>
  </w:num>
  <w:num w:numId="9" w16cid:durableId="1780443815">
    <w:abstractNumId w:val="3"/>
  </w:num>
  <w:num w:numId="10" w16cid:durableId="688802759">
    <w:abstractNumId w:val="12"/>
  </w:num>
  <w:num w:numId="11" w16cid:durableId="2071803419">
    <w:abstractNumId w:val="7"/>
  </w:num>
  <w:num w:numId="12" w16cid:durableId="225917084">
    <w:abstractNumId w:val="11"/>
  </w:num>
  <w:num w:numId="13" w16cid:durableId="767502720">
    <w:abstractNumId w:val="9"/>
  </w:num>
  <w:num w:numId="14" w16cid:durableId="1751999246">
    <w:abstractNumId w:val="5"/>
  </w:num>
  <w:num w:numId="15" w16cid:durableId="4957247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9EA"/>
    <w:rsid w:val="00204BE7"/>
    <w:rsid w:val="00210CA9"/>
    <w:rsid w:val="002A4617"/>
    <w:rsid w:val="002F35C4"/>
    <w:rsid w:val="003F39EA"/>
    <w:rsid w:val="00433F11"/>
    <w:rsid w:val="004955CB"/>
    <w:rsid w:val="00747C57"/>
    <w:rsid w:val="008B0AB2"/>
    <w:rsid w:val="00A2143D"/>
    <w:rsid w:val="00A93A26"/>
    <w:rsid w:val="00AF1101"/>
    <w:rsid w:val="00B3635C"/>
    <w:rsid w:val="00C12E61"/>
    <w:rsid w:val="00C414EE"/>
    <w:rsid w:val="00C752A8"/>
    <w:rsid w:val="00D0565F"/>
    <w:rsid w:val="00DD5B98"/>
    <w:rsid w:val="00E7082C"/>
    <w:rsid w:val="00E825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DFB1"/>
  <w15:chartTrackingRefBased/>
  <w15:docId w15:val="{133443C3-51F2-4F37-83B1-F88DD8BF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9EA"/>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3F39EA"/>
    <w:pPr>
      <w:spacing w:after="120"/>
      <w:outlineLvl w:val="0"/>
    </w:pPr>
    <w:rPr>
      <w:rFonts w:eastAsia="Times New Roman"/>
      <w:b/>
      <w:color w:val="000000"/>
      <w:sz w:val="32"/>
      <w:szCs w:val="20"/>
      <w:lang w:eastAsia="fr-FR"/>
    </w:rPr>
  </w:style>
  <w:style w:type="paragraph" w:styleId="Titre2">
    <w:name w:val="heading 2"/>
    <w:basedOn w:val="Normal"/>
    <w:link w:val="Titre2Car"/>
    <w:uiPriority w:val="9"/>
    <w:qFormat/>
    <w:rsid w:val="003F39EA"/>
    <w:pPr>
      <w:spacing w:before="240"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A2143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39EA"/>
    <w:rPr>
      <w:rFonts w:ascii="Arial" w:eastAsia="Times New Roman" w:hAnsi="Arial" w:cs="Times New Roman"/>
      <w:b/>
      <w:color w:val="000000"/>
      <w:sz w:val="32"/>
      <w:szCs w:val="20"/>
      <w:lang w:eastAsia="fr-FR"/>
    </w:rPr>
  </w:style>
  <w:style w:type="character" w:customStyle="1" w:styleId="Titre2Car">
    <w:name w:val="Titre 2 Car"/>
    <w:basedOn w:val="Policepardfaut"/>
    <w:link w:val="Titre2"/>
    <w:uiPriority w:val="9"/>
    <w:rsid w:val="003F39EA"/>
    <w:rPr>
      <w:rFonts w:ascii="Arial" w:eastAsia="Times New Roman" w:hAnsi="Arial" w:cs="Arial"/>
      <w:b/>
      <w:color w:val="000000"/>
      <w:sz w:val="28"/>
      <w:szCs w:val="20"/>
      <w:lang w:eastAsia="fr-FR"/>
    </w:rPr>
  </w:style>
  <w:style w:type="table" w:styleId="Grilledutableau">
    <w:name w:val="Table Grid"/>
    <w:basedOn w:val="TableauNormal"/>
    <w:uiPriority w:val="59"/>
    <w:rsid w:val="003F39EA"/>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F39EA"/>
    <w:pPr>
      <w:ind w:left="720"/>
      <w:contextualSpacing/>
    </w:pPr>
  </w:style>
  <w:style w:type="character" w:customStyle="1" w:styleId="Titre3Car">
    <w:name w:val="Titre 3 Car"/>
    <w:basedOn w:val="Policepardfaut"/>
    <w:link w:val="Titre3"/>
    <w:uiPriority w:val="9"/>
    <w:semiHidden/>
    <w:rsid w:val="00A214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657</Words>
  <Characters>3615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19</cp:revision>
  <dcterms:created xsi:type="dcterms:W3CDTF">2015-10-06T22:26:00Z</dcterms:created>
  <dcterms:modified xsi:type="dcterms:W3CDTF">2023-11-24T19:34:00Z</dcterms:modified>
</cp:coreProperties>
</file>