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4" w:type="dxa"/>
        <w:tblInd w:w="-1" w:type="dxa"/>
        <w:shd w:val="clear" w:color="auto" w:fill="92D050"/>
        <w:tblLook w:val="04A0" w:firstRow="1" w:lastRow="0" w:firstColumn="1" w:lastColumn="0" w:noHBand="0" w:noVBand="1"/>
      </w:tblPr>
      <w:tblGrid>
        <w:gridCol w:w="1294"/>
        <w:gridCol w:w="6924"/>
        <w:gridCol w:w="1776"/>
      </w:tblGrid>
      <w:tr w:rsidR="00EE7B60" w:rsidRPr="00EE7B60" w14:paraId="51F47AA7" w14:textId="77777777" w:rsidTr="00224DC0">
        <w:trPr>
          <w:trHeight w:val="227"/>
        </w:trPr>
        <w:tc>
          <w:tcPr>
            <w:tcW w:w="8218" w:type="dxa"/>
            <w:gridSpan w:val="2"/>
            <w:shd w:val="clear" w:color="auto" w:fill="92D050"/>
            <w:vAlign w:val="center"/>
          </w:tcPr>
          <w:p w14:paraId="7BCE1CBB" w14:textId="77777777" w:rsidR="00EE7B60" w:rsidRPr="00EE7B60" w:rsidRDefault="00EE7B60" w:rsidP="00224DC0">
            <w:pPr>
              <w:pStyle w:val="Titre3"/>
              <w:spacing w:before="120"/>
              <w:jc w:val="center"/>
              <w:rPr>
                <w:rFonts w:ascii="Arial" w:hAnsi="Arial" w:cs="Arial"/>
                <w:b/>
                <w:bCs/>
                <w:color w:val="auto"/>
                <w:sz w:val="28"/>
                <w:szCs w:val="32"/>
              </w:rPr>
            </w:pPr>
            <w:r w:rsidRPr="00EE7B60">
              <w:rPr>
                <w:rFonts w:ascii="Arial" w:hAnsi="Arial" w:cs="Arial"/>
                <w:b/>
                <w:bCs/>
                <w:color w:val="auto"/>
                <w:sz w:val="28"/>
                <w:szCs w:val="32"/>
              </w:rPr>
              <w:t>Mission 2 – Se protéger contre les risques naturels et environnementaux</w:t>
            </w:r>
          </w:p>
        </w:tc>
        <w:tc>
          <w:tcPr>
            <w:tcW w:w="1776" w:type="dxa"/>
            <w:shd w:val="clear" w:color="auto" w:fill="92D050"/>
          </w:tcPr>
          <w:p w14:paraId="2D3128BC" w14:textId="77777777" w:rsidR="00EE7B60" w:rsidRPr="00EE7B60" w:rsidRDefault="00EE7B60" w:rsidP="00224DC0">
            <w:pPr>
              <w:pStyle w:val="Titre3"/>
              <w:rPr>
                <w:rFonts w:ascii="Arial" w:hAnsi="Arial" w:cs="Arial"/>
                <w:b/>
                <w:bCs/>
                <w:color w:val="auto"/>
                <w:sz w:val="28"/>
              </w:rPr>
            </w:pPr>
            <w:r w:rsidRPr="00EE7B60">
              <w:rPr>
                <w:rFonts w:ascii="Arial" w:hAnsi="Arial" w:cs="Arial"/>
                <w:b/>
                <w:bCs/>
                <w:noProof/>
                <w:color w:val="auto"/>
              </w:rPr>
              <w:drawing>
                <wp:inline distT="0" distB="0" distL="0" distR="0" wp14:anchorId="7C8E6435" wp14:editId="7DA72F46">
                  <wp:extent cx="962243" cy="612000"/>
                  <wp:effectExtent l="19050" t="19050" r="9525" b="17145"/>
                  <wp:docPr id="11" name="Image 11"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962243" cy="612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EE7B60" w:rsidRPr="00EE7B60" w14:paraId="50B1B255" w14:textId="77777777" w:rsidTr="00224DC0">
        <w:trPr>
          <w:trHeight w:val="504"/>
        </w:trPr>
        <w:tc>
          <w:tcPr>
            <w:tcW w:w="1294" w:type="dxa"/>
            <w:shd w:val="clear" w:color="auto" w:fill="92D050"/>
            <w:vAlign w:val="center"/>
          </w:tcPr>
          <w:p w14:paraId="2B124803" w14:textId="77777777" w:rsidR="00EE7B60" w:rsidRPr="00EE7B60" w:rsidRDefault="00EE7B60" w:rsidP="00224DC0">
            <w:pPr>
              <w:rPr>
                <w:rFonts w:cs="Arial"/>
                <w:bCs/>
                <w:iCs/>
                <w:color w:val="000000" w:themeColor="text1"/>
              </w:rPr>
            </w:pPr>
            <w:r w:rsidRPr="00EE7B60">
              <w:rPr>
                <w:rFonts w:cs="Arial"/>
                <w:bCs/>
                <w:iCs/>
                <w:color w:val="000000" w:themeColor="text1"/>
              </w:rPr>
              <w:t>Durée : 50’</w:t>
            </w:r>
          </w:p>
        </w:tc>
        <w:tc>
          <w:tcPr>
            <w:tcW w:w="6924" w:type="dxa"/>
            <w:shd w:val="clear" w:color="auto" w:fill="92D050"/>
            <w:vAlign w:val="center"/>
          </w:tcPr>
          <w:p w14:paraId="776171C7" w14:textId="77777777" w:rsidR="00EE7B60" w:rsidRPr="00EE7B60" w:rsidRDefault="00EE7B60" w:rsidP="00224DC0">
            <w:pPr>
              <w:jc w:val="center"/>
              <w:rPr>
                <w:rFonts w:cs="Arial"/>
                <w:iCs/>
                <w:color w:val="000000" w:themeColor="text1"/>
              </w:rPr>
            </w:pPr>
            <w:r w:rsidRPr="00EE7B60">
              <w:rPr>
                <w:rFonts w:cs="Arial"/>
                <w:iCs/>
                <w:noProof/>
              </w:rPr>
              <w:drawing>
                <wp:inline distT="0" distB="0" distL="0" distR="0" wp14:anchorId="11CD9189" wp14:editId="1654E70D">
                  <wp:extent cx="325755" cy="325755"/>
                  <wp:effectExtent l="0" t="0" r="0" b="0"/>
                  <wp:docPr id="1177017021" name="Graphique 1177017021"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EE7B60">
              <w:rPr>
                <w:rFonts w:cs="Arial"/>
                <w:iCs/>
              </w:rPr>
              <w:t xml:space="preserve">ou </w:t>
            </w:r>
            <w:r w:rsidRPr="00EE7B60">
              <w:rPr>
                <w:rFonts w:cs="Arial"/>
                <w:iCs/>
                <w:noProof/>
              </w:rPr>
              <w:drawing>
                <wp:inline distT="0" distB="0" distL="0" distR="0" wp14:anchorId="52308CA1" wp14:editId="2B8FCB17">
                  <wp:extent cx="365760" cy="365760"/>
                  <wp:effectExtent l="0" t="0" r="0" b="0"/>
                  <wp:docPr id="519901473" name="Graphique 519901473"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776" w:type="dxa"/>
            <w:shd w:val="clear" w:color="auto" w:fill="92D050"/>
            <w:vAlign w:val="center"/>
          </w:tcPr>
          <w:p w14:paraId="7056E590" w14:textId="77777777" w:rsidR="00EE7B60" w:rsidRPr="00EE7B60" w:rsidRDefault="00EE7B60" w:rsidP="00224DC0">
            <w:pPr>
              <w:jc w:val="center"/>
              <w:rPr>
                <w:rFonts w:cs="Arial"/>
                <w:color w:val="000000" w:themeColor="text1"/>
              </w:rPr>
            </w:pPr>
            <w:r w:rsidRPr="00EE7B60">
              <w:rPr>
                <w:rFonts w:cs="Arial"/>
                <w:color w:val="000000" w:themeColor="text1"/>
              </w:rPr>
              <w:t>Source</w:t>
            </w:r>
          </w:p>
        </w:tc>
      </w:tr>
    </w:tbl>
    <w:p w14:paraId="4C134BCF" w14:textId="77777777" w:rsidR="00EE7B60" w:rsidRPr="00EE7B60" w:rsidRDefault="00EE7B60" w:rsidP="00EE7B60">
      <w:pPr>
        <w:rPr>
          <w:rFonts w:cs="Arial"/>
          <w:b/>
          <w:color w:val="FFFFFF" w:themeColor="background1"/>
          <w:sz w:val="24"/>
          <w:lang w:eastAsia="fr-FR"/>
        </w:rPr>
      </w:pPr>
    </w:p>
    <w:p w14:paraId="1B501161" w14:textId="77777777" w:rsidR="00EE7B60" w:rsidRPr="00EE7B60" w:rsidRDefault="00EE7B60" w:rsidP="00EE7B60">
      <w:pPr>
        <w:rPr>
          <w:rFonts w:cs="Arial"/>
          <w:b/>
          <w:sz w:val="24"/>
          <w:lang w:eastAsia="fr-FR"/>
        </w:rPr>
      </w:pPr>
      <w:r w:rsidRPr="00EE7B60">
        <w:rPr>
          <w:rFonts w:cs="Arial"/>
          <w:noProof/>
          <w:lang w:eastAsia="fr-FR"/>
        </w:rPr>
        <w:drawing>
          <wp:anchor distT="0" distB="0" distL="114300" distR="114300" simplePos="0" relativeHeight="251659264" behindDoc="0" locked="0" layoutInCell="1" allowOverlap="1" wp14:anchorId="466EF996" wp14:editId="2A69CD3B">
            <wp:simplePos x="0" y="0"/>
            <wp:positionH relativeFrom="column">
              <wp:posOffset>3154045</wp:posOffset>
            </wp:positionH>
            <wp:positionV relativeFrom="paragraph">
              <wp:posOffset>57785</wp:posOffset>
            </wp:positionV>
            <wp:extent cx="3234055" cy="1609725"/>
            <wp:effectExtent l="0" t="0" r="4445" b="9525"/>
            <wp:wrapSquare wrapText="bothSides"/>
            <wp:docPr id="899797165" name="Image 2" descr="Une image contenant plein air, ciel, arbre, Équipement de constru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97165" name="Image 2" descr="Une image contenant plein air, ciel, arbre, Équipement de construc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4055" cy="1609725"/>
                    </a:xfrm>
                    <a:prstGeom prst="rect">
                      <a:avLst/>
                    </a:prstGeom>
                  </pic:spPr>
                </pic:pic>
              </a:graphicData>
            </a:graphic>
            <wp14:sizeRelH relativeFrom="margin">
              <wp14:pctWidth>0</wp14:pctWidth>
            </wp14:sizeRelH>
            <wp14:sizeRelV relativeFrom="margin">
              <wp14:pctHeight>0</wp14:pctHeight>
            </wp14:sizeRelV>
          </wp:anchor>
        </w:drawing>
      </w:r>
      <w:r w:rsidRPr="00EE7B60">
        <w:rPr>
          <w:rFonts w:cs="Arial"/>
          <w:b/>
          <w:sz w:val="24"/>
          <w:lang w:eastAsia="fr-FR"/>
        </w:rPr>
        <w:t>Contexte professionnel</w:t>
      </w:r>
    </w:p>
    <w:p w14:paraId="69B76D29"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 xml:space="preserve">La société Charvin est une entreprise de BTP. </w:t>
      </w:r>
    </w:p>
    <w:p w14:paraId="3CE39D34"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 xml:space="preserve">Elle possède une gravière sur les bords de l'Isère équipée d’un concasseur. Elle extrait, du lit du fleuve, du gravier et des pierres qu’elle transforme en sable à l’aide du concasseur. Ces matériaux sont utilisés par la société ou revendus à d’autres entreprises de BTP. </w:t>
      </w:r>
    </w:p>
    <w:p w14:paraId="0312AF88"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Le site est également équipé d’un entrepôt qui sert à stocker du matériel et des consommables (huile, essence, gasoil…) utilisés par les engins mécaniques.</w:t>
      </w:r>
    </w:p>
    <w:p w14:paraId="7EE4AD80"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Lors des fortes pluies récentes le cours de l'Isère a débordé et envahi une partie des installations. L’entrepôt n’a pas été touché mais le concasseur a été emporté. Il a été récupéré mais il n’est plus utilisable.</w:t>
      </w:r>
    </w:p>
    <w:p w14:paraId="25E0F114"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 xml:space="preserve">Une information de la préfecture semble indiquer que l’état de catastrophe naturelle pourrait être prononcé. </w:t>
      </w:r>
    </w:p>
    <w:p w14:paraId="418D541F" w14:textId="77777777" w:rsidR="00EE7B60" w:rsidRPr="00EE7B60" w:rsidRDefault="00EE7B60" w:rsidP="00EE7B60">
      <w:pPr>
        <w:spacing w:before="120"/>
        <w:rPr>
          <w:rFonts w:cs="Arial"/>
          <w:sz w:val="20"/>
          <w:szCs w:val="20"/>
          <w:lang w:eastAsia="fr-FR"/>
        </w:rPr>
      </w:pPr>
      <w:r w:rsidRPr="00EE7B60">
        <w:rPr>
          <w:rFonts w:cs="Arial"/>
          <w:sz w:val="20"/>
          <w:szCs w:val="20"/>
          <w:lang w:eastAsia="fr-FR"/>
        </w:rPr>
        <w:t>M. Charvin souhaite connaitre les modalités d’indemnisation des entreprises victime de la crue. Par ailleurs, il s’interroge sur les conséquences possibles si l’entrepôt était inondé et si les futs d’essences, d’huile ou de gasoil étaient emportés.</w:t>
      </w:r>
    </w:p>
    <w:p w14:paraId="65E10A84" w14:textId="77777777" w:rsidR="00EE7B60" w:rsidRPr="00EE7B60" w:rsidRDefault="00EE7B60" w:rsidP="00EE7B60">
      <w:pPr>
        <w:spacing w:before="240"/>
        <w:rPr>
          <w:rFonts w:cs="Arial"/>
          <w:b/>
          <w:sz w:val="20"/>
          <w:szCs w:val="20"/>
          <w:lang w:eastAsia="fr-FR"/>
        </w:rPr>
      </w:pPr>
      <w:r w:rsidRPr="00EE7B60">
        <w:rPr>
          <w:rFonts w:cs="Arial"/>
          <w:b/>
          <w:sz w:val="20"/>
          <w:szCs w:val="20"/>
          <w:lang w:eastAsia="fr-FR"/>
        </w:rPr>
        <w:t>Travail à faire</w:t>
      </w:r>
    </w:p>
    <w:p w14:paraId="055D6151" w14:textId="77777777" w:rsidR="00EE7B60" w:rsidRPr="00EE7B60" w:rsidRDefault="00EE7B60" w:rsidP="00EE7B60">
      <w:pPr>
        <w:pStyle w:val="Paragraphedeliste"/>
        <w:numPr>
          <w:ilvl w:val="1"/>
          <w:numId w:val="16"/>
        </w:numPr>
        <w:spacing w:before="120"/>
        <w:ind w:left="284" w:hanging="284"/>
        <w:rPr>
          <w:rFonts w:cs="Arial"/>
          <w:sz w:val="20"/>
          <w:szCs w:val="20"/>
          <w:lang w:eastAsia="fr-FR"/>
        </w:rPr>
      </w:pPr>
      <w:bookmarkStart w:id="0" w:name="_Hlk151674643"/>
      <w:r w:rsidRPr="00EE7B60">
        <w:rPr>
          <w:rFonts w:cs="Arial"/>
          <w:sz w:val="20"/>
          <w:szCs w:val="20"/>
          <w:lang w:eastAsia="fr-FR"/>
        </w:rPr>
        <w:t>Présentez dans une note modalité d’indemnisation en cas de catastrophe naturelle (</w:t>
      </w:r>
      <w:r w:rsidRPr="00EE7B60">
        <w:rPr>
          <w:rFonts w:cs="Arial"/>
          <w:b/>
          <w:bCs/>
          <w:sz w:val="20"/>
          <w:szCs w:val="20"/>
          <w:lang w:eastAsia="fr-FR"/>
        </w:rPr>
        <w:t xml:space="preserve">document 1 </w:t>
      </w:r>
      <w:r w:rsidRPr="00EE7B60">
        <w:rPr>
          <w:rFonts w:cs="Arial"/>
          <w:sz w:val="20"/>
          <w:szCs w:val="20"/>
          <w:lang w:eastAsia="fr-FR"/>
        </w:rPr>
        <w:t xml:space="preserve">et </w:t>
      </w:r>
      <w:r w:rsidRPr="00EE7B60">
        <w:rPr>
          <w:rFonts w:cs="Arial"/>
          <w:b/>
          <w:bCs/>
          <w:sz w:val="20"/>
          <w:szCs w:val="20"/>
          <w:lang w:eastAsia="fr-FR"/>
        </w:rPr>
        <w:t>2</w:t>
      </w:r>
      <w:r w:rsidRPr="00EE7B60">
        <w:rPr>
          <w:rFonts w:cs="Arial"/>
          <w:sz w:val="20"/>
          <w:szCs w:val="20"/>
          <w:lang w:eastAsia="fr-FR"/>
        </w:rPr>
        <w:t>).</w:t>
      </w:r>
    </w:p>
    <w:p w14:paraId="6A6B2176" w14:textId="186CFED0" w:rsidR="00EE7B60" w:rsidRPr="00EE7B60" w:rsidRDefault="00EE7B60" w:rsidP="00EE7B60">
      <w:pPr>
        <w:pStyle w:val="Paragraphedeliste"/>
        <w:numPr>
          <w:ilvl w:val="1"/>
          <w:numId w:val="16"/>
        </w:numPr>
        <w:spacing w:before="120"/>
        <w:ind w:left="284" w:hanging="284"/>
        <w:rPr>
          <w:rFonts w:cs="Arial"/>
          <w:sz w:val="20"/>
          <w:szCs w:val="20"/>
          <w:lang w:eastAsia="fr-FR"/>
        </w:rPr>
      </w:pPr>
      <w:r w:rsidRPr="00EE7B60">
        <w:rPr>
          <w:rFonts w:cs="Arial"/>
          <w:sz w:val="20"/>
          <w:szCs w:val="20"/>
          <w:lang w:eastAsia="fr-FR"/>
        </w:rPr>
        <w:t>Étudiez les conséquences pour l’entreprise d’une pollution accidentelle et faites part de vos conclusion</w:t>
      </w:r>
      <w:r w:rsidRPr="00EE7B60">
        <w:rPr>
          <w:rFonts w:cs="Arial"/>
          <w:sz w:val="20"/>
          <w:szCs w:val="20"/>
          <w:lang w:eastAsia="fr-FR"/>
        </w:rPr>
        <w:t>s</w:t>
      </w:r>
      <w:r w:rsidRPr="00EE7B60">
        <w:rPr>
          <w:rFonts w:cs="Arial"/>
          <w:sz w:val="20"/>
          <w:szCs w:val="20"/>
          <w:lang w:eastAsia="fr-FR"/>
        </w:rPr>
        <w:t xml:space="preserve"> en ce qui concerne la gravière (</w:t>
      </w:r>
      <w:r w:rsidRPr="00EE7B60">
        <w:rPr>
          <w:rFonts w:cs="Arial"/>
          <w:b/>
          <w:bCs/>
          <w:sz w:val="20"/>
          <w:szCs w:val="20"/>
          <w:lang w:eastAsia="fr-FR"/>
        </w:rPr>
        <w:t>document 3</w:t>
      </w:r>
      <w:r w:rsidRPr="00EE7B60">
        <w:rPr>
          <w:rFonts w:cs="Arial"/>
          <w:sz w:val="20"/>
          <w:szCs w:val="20"/>
          <w:lang w:eastAsia="fr-FR"/>
        </w:rPr>
        <w:t>).</w:t>
      </w:r>
    </w:p>
    <w:bookmarkEnd w:id="0"/>
    <w:p w14:paraId="2AEF9F2F" w14:textId="77777777" w:rsidR="00EE7B60" w:rsidRPr="00EE7B60" w:rsidRDefault="00EE7B60" w:rsidP="00EE7B60">
      <w:pPr>
        <w:rPr>
          <w:rFonts w:cs="Arial"/>
          <w:b/>
          <w:color w:val="FFFFFF" w:themeColor="background1"/>
          <w:sz w:val="24"/>
          <w:lang w:eastAsia="fr-FR"/>
        </w:rPr>
      </w:pPr>
    </w:p>
    <w:p w14:paraId="45BA9674" w14:textId="77777777" w:rsidR="00EE7B60" w:rsidRPr="00EE7B60" w:rsidRDefault="00EE7B60" w:rsidP="00EE7B60">
      <w:pPr>
        <w:spacing w:after="120"/>
        <w:rPr>
          <w:rFonts w:cs="Arial"/>
          <w:b/>
          <w:sz w:val="24"/>
          <w:lang w:eastAsia="fr-FR"/>
        </w:rPr>
      </w:pPr>
      <w:r w:rsidRPr="00EE7B60">
        <w:rPr>
          <w:rFonts w:cs="Arial"/>
          <w:b/>
          <w:sz w:val="24"/>
          <w:lang w:eastAsia="fr-FR"/>
        </w:rPr>
        <w:t>Doc. 1 Contrat d’assurance de la société</w:t>
      </w:r>
    </w:p>
    <w:tbl>
      <w:tblPr>
        <w:tblStyle w:val="Grilledutableau"/>
        <w:tblW w:w="10242" w:type="dxa"/>
        <w:shd w:val="clear" w:color="auto" w:fill="C5E0B3" w:themeFill="accent6" w:themeFillTint="66"/>
        <w:tblLook w:val="04A0" w:firstRow="1" w:lastRow="0" w:firstColumn="1" w:lastColumn="0" w:noHBand="0" w:noVBand="1"/>
      </w:tblPr>
      <w:tblGrid>
        <w:gridCol w:w="6277"/>
        <w:gridCol w:w="2137"/>
        <w:gridCol w:w="1828"/>
      </w:tblGrid>
      <w:tr w:rsidR="00EE7B60" w:rsidRPr="00EE7B60" w14:paraId="012285C4" w14:textId="77777777" w:rsidTr="00224DC0">
        <w:tc>
          <w:tcPr>
            <w:tcW w:w="8414" w:type="dxa"/>
            <w:gridSpan w:val="2"/>
            <w:shd w:val="clear" w:color="auto" w:fill="E2EFD9" w:themeFill="accent6" w:themeFillTint="33"/>
            <w:vAlign w:val="center"/>
          </w:tcPr>
          <w:p w14:paraId="222ACBD1" w14:textId="77777777" w:rsidR="00EE7B60" w:rsidRPr="00EE7B60" w:rsidRDefault="00EE7B60" w:rsidP="00224DC0">
            <w:pPr>
              <w:jc w:val="center"/>
              <w:rPr>
                <w:rFonts w:cs="Arial"/>
                <w:b/>
                <w:sz w:val="24"/>
                <w:szCs w:val="18"/>
              </w:rPr>
            </w:pPr>
            <w:r w:rsidRPr="00EE7B60">
              <w:rPr>
                <w:rFonts w:cs="Arial"/>
                <w:b/>
                <w:sz w:val="24"/>
                <w:szCs w:val="18"/>
              </w:rPr>
              <w:t>Conditions générales contrat multirisque professionnel</w:t>
            </w:r>
          </w:p>
          <w:p w14:paraId="5ED9C513" w14:textId="77777777" w:rsidR="00EE7B60" w:rsidRPr="00EE7B60" w:rsidRDefault="00EE7B60" w:rsidP="00224DC0">
            <w:pPr>
              <w:jc w:val="center"/>
              <w:rPr>
                <w:rFonts w:cs="Arial"/>
                <w:sz w:val="28"/>
              </w:rPr>
            </w:pPr>
            <w:r w:rsidRPr="00EE7B60">
              <w:rPr>
                <w:rFonts w:cs="Arial"/>
              </w:rPr>
              <w:t>Contrat N° 1456-75-2895 du 15/10/2015</w:t>
            </w:r>
          </w:p>
        </w:tc>
        <w:tc>
          <w:tcPr>
            <w:tcW w:w="1828" w:type="dxa"/>
            <w:shd w:val="clear" w:color="auto" w:fill="E2EFD9" w:themeFill="accent6" w:themeFillTint="33"/>
          </w:tcPr>
          <w:p w14:paraId="636A53ED" w14:textId="77777777" w:rsidR="00EE7B60" w:rsidRPr="00EE7B60" w:rsidRDefault="00EE7B60" w:rsidP="00224DC0">
            <w:pPr>
              <w:jc w:val="center"/>
              <w:rPr>
                <w:rFonts w:cs="Arial"/>
                <w:b/>
              </w:rPr>
            </w:pPr>
            <w:r w:rsidRPr="00EE7B60">
              <w:rPr>
                <w:rFonts w:cs="Arial"/>
                <w:noProof/>
              </w:rPr>
              <w:drawing>
                <wp:inline distT="0" distB="0" distL="0" distR="0" wp14:anchorId="37F30CD4" wp14:editId="023FE3EE">
                  <wp:extent cx="497205" cy="497205"/>
                  <wp:effectExtent l="0" t="0" r="0" b="0"/>
                  <wp:docPr id="92350810" name="Image 92350810" descr="http://www.assurance-guide.com/wordpress/wp-content/uploads/2013/03/ax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surance-guide.com/wordpress/wp-content/uploads/2013/03/ax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687" cy="519687"/>
                          </a:xfrm>
                          <a:prstGeom prst="rect">
                            <a:avLst/>
                          </a:prstGeom>
                          <a:noFill/>
                          <a:ln>
                            <a:noFill/>
                          </a:ln>
                        </pic:spPr>
                      </pic:pic>
                    </a:graphicData>
                  </a:graphic>
                </wp:inline>
              </w:drawing>
            </w:r>
          </w:p>
        </w:tc>
      </w:tr>
      <w:tr w:rsidR="00EE7B60" w:rsidRPr="00EE7B60" w14:paraId="602E9173" w14:textId="77777777" w:rsidTr="00224DC0">
        <w:tc>
          <w:tcPr>
            <w:tcW w:w="6277" w:type="dxa"/>
            <w:shd w:val="clear" w:color="auto" w:fill="E2EFD9" w:themeFill="accent6" w:themeFillTint="33"/>
            <w:vAlign w:val="center"/>
          </w:tcPr>
          <w:p w14:paraId="24725B70" w14:textId="77777777" w:rsidR="00EE7B60" w:rsidRPr="00EE7B60" w:rsidRDefault="00EE7B60" w:rsidP="00224DC0">
            <w:pPr>
              <w:jc w:val="center"/>
              <w:rPr>
                <w:rFonts w:cs="Arial"/>
                <w:b/>
                <w:sz w:val="18"/>
                <w:szCs w:val="18"/>
              </w:rPr>
            </w:pPr>
            <w:r w:rsidRPr="00EE7B60">
              <w:rPr>
                <w:rFonts w:cs="Arial"/>
                <w:b/>
                <w:sz w:val="18"/>
                <w:szCs w:val="18"/>
              </w:rPr>
              <w:t>Nature des garanties</w:t>
            </w:r>
          </w:p>
        </w:tc>
        <w:tc>
          <w:tcPr>
            <w:tcW w:w="2137" w:type="dxa"/>
            <w:shd w:val="clear" w:color="auto" w:fill="E2EFD9" w:themeFill="accent6" w:themeFillTint="33"/>
            <w:vAlign w:val="center"/>
          </w:tcPr>
          <w:p w14:paraId="522AAA1C" w14:textId="77777777" w:rsidR="00EE7B60" w:rsidRPr="00EE7B60" w:rsidRDefault="00EE7B60" w:rsidP="00224DC0">
            <w:pPr>
              <w:jc w:val="center"/>
              <w:rPr>
                <w:rFonts w:cs="Arial"/>
                <w:b/>
                <w:sz w:val="18"/>
                <w:szCs w:val="18"/>
              </w:rPr>
            </w:pPr>
            <w:r w:rsidRPr="00EE7B60">
              <w:rPr>
                <w:rFonts w:cs="Arial"/>
                <w:b/>
                <w:sz w:val="18"/>
                <w:szCs w:val="18"/>
              </w:rPr>
              <w:t>Montant des</w:t>
            </w:r>
          </w:p>
          <w:p w14:paraId="49CCD205" w14:textId="77777777" w:rsidR="00EE7B60" w:rsidRPr="00EE7B60" w:rsidRDefault="00EE7B60" w:rsidP="00224DC0">
            <w:pPr>
              <w:jc w:val="center"/>
              <w:rPr>
                <w:rFonts w:cs="Arial"/>
                <w:b/>
                <w:sz w:val="18"/>
                <w:szCs w:val="18"/>
              </w:rPr>
            </w:pPr>
            <w:r w:rsidRPr="00EE7B60">
              <w:rPr>
                <w:rFonts w:cs="Arial"/>
                <w:b/>
                <w:sz w:val="18"/>
                <w:szCs w:val="18"/>
              </w:rPr>
              <w:t>garanties par sinistre</w:t>
            </w:r>
          </w:p>
        </w:tc>
        <w:tc>
          <w:tcPr>
            <w:tcW w:w="1828" w:type="dxa"/>
            <w:shd w:val="clear" w:color="auto" w:fill="E2EFD9" w:themeFill="accent6" w:themeFillTint="33"/>
            <w:vAlign w:val="center"/>
          </w:tcPr>
          <w:p w14:paraId="51A1E3E1" w14:textId="77777777" w:rsidR="00EE7B60" w:rsidRPr="00EE7B60" w:rsidRDefault="00EE7B60" w:rsidP="00224DC0">
            <w:pPr>
              <w:jc w:val="center"/>
              <w:rPr>
                <w:rFonts w:cs="Arial"/>
                <w:b/>
                <w:sz w:val="18"/>
                <w:szCs w:val="18"/>
              </w:rPr>
            </w:pPr>
            <w:r w:rsidRPr="00EE7B60">
              <w:rPr>
                <w:rFonts w:cs="Arial"/>
                <w:b/>
                <w:sz w:val="18"/>
                <w:szCs w:val="18"/>
              </w:rPr>
              <w:t>Montant des</w:t>
            </w:r>
          </w:p>
          <w:p w14:paraId="4AB01551" w14:textId="77777777" w:rsidR="00EE7B60" w:rsidRPr="00EE7B60" w:rsidRDefault="00EE7B60" w:rsidP="00224DC0">
            <w:pPr>
              <w:jc w:val="center"/>
              <w:rPr>
                <w:rFonts w:cs="Arial"/>
                <w:b/>
                <w:sz w:val="18"/>
                <w:szCs w:val="18"/>
              </w:rPr>
            </w:pPr>
            <w:r w:rsidRPr="00EE7B60">
              <w:rPr>
                <w:rFonts w:cs="Arial"/>
                <w:b/>
                <w:sz w:val="18"/>
                <w:szCs w:val="18"/>
              </w:rPr>
              <w:t>franchises</w:t>
            </w:r>
          </w:p>
        </w:tc>
      </w:tr>
      <w:tr w:rsidR="00EE7B60" w:rsidRPr="00EE7B60" w14:paraId="4526C3DB" w14:textId="77777777" w:rsidTr="00224DC0">
        <w:tc>
          <w:tcPr>
            <w:tcW w:w="6277" w:type="dxa"/>
            <w:shd w:val="clear" w:color="auto" w:fill="E2EFD9" w:themeFill="accent6" w:themeFillTint="33"/>
            <w:vAlign w:val="center"/>
          </w:tcPr>
          <w:p w14:paraId="758EDE7D" w14:textId="77777777" w:rsidR="00EE7B60" w:rsidRPr="00EE7B60" w:rsidRDefault="00EE7B60" w:rsidP="00224DC0">
            <w:pPr>
              <w:jc w:val="left"/>
              <w:rPr>
                <w:rFonts w:cs="Arial"/>
                <w:b/>
                <w:sz w:val="18"/>
                <w:szCs w:val="18"/>
              </w:rPr>
            </w:pPr>
            <w:r w:rsidRPr="00EE7B60">
              <w:rPr>
                <w:rFonts w:cs="Arial"/>
                <w:b/>
                <w:sz w:val="18"/>
                <w:szCs w:val="18"/>
              </w:rPr>
              <w:t>A – Assurance des biens</w:t>
            </w:r>
          </w:p>
        </w:tc>
        <w:tc>
          <w:tcPr>
            <w:tcW w:w="2137" w:type="dxa"/>
            <w:shd w:val="clear" w:color="auto" w:fill="E2EFD9" w:themeFill="accent6" w:themeFillTint="33"/>
          </w:tcPr>
          <w:p w14:paraId="04FA48F7" w14:textId="77777777" w:rsidR="00EE7B60" w:rsidRPr="00EE7B60" w:rsidRDefault="00EE7B60" w:rsidP="00224DC0">
            <w:pPr>
              <w:jc w:val="center"/>
              <w:rPr>
                <w:rFonts w:cs="Arial"/>
                <w:b/>
                <w:sz w:val="18"/>
                <w:szCs w:val="18"/>
              </w:rPr>
            </w:pPr>
          </w:p>
        </w:tc>
        <w:tc>
          <w:tcPr>
            <w:tcW w:w="1828" w:type="dxa"/>
            <w:shd w:val="clear" w:color="auto" w:fill="E2EFD9" w:themeFill="accent6" w:themeFillTint="33"/>
          </w:tcPr>
          <w:p w14:paraId="10CDE069" w14:textId="77777777" w:rsidR="00EE7B60" w:rsidRPr="00EE7B60" w:rsidRDefault="00EE7B60" w:rsidP="00224DC0">
            <w:pPr>
              <w:jc w:val="center"/>
              <w:rPr>
                <w:rFonts w:cs="Arial"/>
                <w:b/>
                <w:sz w:val="18"/>
                <w:szCs w:val="18"/>
              </w:rPr>
            </w:pPr>
          </w:p>
        </w:tc>
      </w:tr>
      <w:tr w:rsidR="00EE7B60" w:rsidRPr="00EE7B60" w14:paraId="4D48B393" w14:textId="77777777" w:rsidTr="00224DC0">
        <w:tc>
          <w:tcPr>
            <w:tcW w:w="6277" w:type="dxa"/>
            <w:shd w:val="clear" w:color="auto" w:fill="E2EFD9" w:themeFill="accent6" w:themeFillTint="33"/>
            <w:vAlign w:val="center"/>
          </w:tcPr>
          <w:p w14:paraId="7B348CBC" w14:textId="77777777" w:rsidR="00EE7B60" w:rsidRPr="00EE7B60" w:rsidRDefault="00EE7B60" w:rsidP="00EE7B60">
            <w:pPr>
              <w:pStyle w:val="Paragraphedeliste"/>
              <w:numPr>
                <w:ilvl w:val="0"/>
                <w:numId w:val="20"/>
              </w:numPr>
              <w:spacing w:line="276" w:lineRule="auto"/>
              <w:jc w:val="left"/>
              <w:rPr>
                <w:rFonts w:cs="Arial"/>
                <w:sz w:val="18"/>
                <w:szCs w:val="18"/>
              </w:rPr>
            </w:pPr>
            <w:r w:rsidRPr="00EE7B60">
              <w:rPr>
                <w:rFonts w:cs="Arial"/>
                <w:sz w:val="18"/>
                <w:szCs w:val="18"/>
              </w:rPr>
              <w:t>Incendie, explosion, dégât des eaux, tempête, grêle, dommage électrique,</w:t>
            </w:r>
          </w:p>
        </w:tc>
        <w:tc>
          <w:tcPr>
            <w:tcW w:w="2137" w:type="dxa"/>
            <w:shd w:val="clear" w:color="auto" w:fill="E2EFD9" w:themeFill="accent6" w:themeFillTint="33"/>
            <w:vAlign w:val="center"/>
          </w:tcPr>
          <w:p w14:paraId="2A0802E2" w14:textId="77777777" w:rsidR="00EE7B60" w:rsidRPr="00EE7B60" w:rsidRDefault="00EE7B60" w:rsidP="00224DC0">
            <w:pPr>
              <w:ind w:right="-18"/>
              <w:jc w:val="right"/>
              <w:rPr>
                <w:rFonts w:cs="Arial"/>
                <w:sz w:val="18"/>
                <w:szCs w:val="18"/>
              </w:rPr>
            </w:pPr>
            <w:r w:rsidRPr="00EE7B60">
              <w:rPr>
                <w:rFonts w:cs="Arial"/>
                <w:sz w:val="18"/>
                <w:szCs w:val="18"/>
              </w:rPr>
              <w:t>2 000 000 €</w:t>
            </w:r>
          </w:p>
        </w:tc>
        <w:tc>
          <w:tcPr>
            <w:tcW w:w="1828" w:type="dxa"/>
            <w:shd w:val="clear" w:color="auto" w:fill="E2EFD9" w:themeFill="accent6" w:themeFillTint="33"/>
            <w:vAlign w:val="center"/>
          </w:tcPr>
          <w:p w14:paraId="106351E0" w14:textId="77777777" w:rsidR="00EE7B60" w:rsidRPr="00EE7B60" w:rsidRDefault="00EE7B60" w:rsidP="00224DC0">
            <w:pPr>
              <w:jc w:val="right"/>
              <w:rPr>
                <w:rFonts w:cs="Arial"/>
                <w:sz w:val="18"/>
                <w:szCs w:val="18"/>
              </w:rPr>
            </w:pPr>
            <w:r w:rsidRPr="00EE7B60">
              <w:rPr>
                <w:rFonts w:cs="Arial"/>
                <w:sz w:val="18"/>
                <w:szCs w:val="18"/>
              </w:rPr>
              <w:t>5 000 €</w:t>
            </w:r>
          </w:p>
        </w:tc>
      </w:tr>
      <w:tr w:rsidR="00EE7B60" w:rsidRPr="00EE7B60" w14:paraId="28EF912A" w14:textId="77777777" w:rsidTr="00224DC0">
        <w:tc>
          <w:tcPr>
            <w:tcW w:w="6277" w:type="dxa"/>
            <w:shd w:val="clear" w:color="auto" w:fill="E2EFD9" w:themeFill="accent6" w:themeFillTint="33"/>
            <w:vAlign w:val="center"/>
          </w:tcPr>
          <w:p w14:paraId="791DE6E4" w14:textId="77777777" w:rsidR="00EE7B60" w:rsidRPr="00EE7B60" w:rsidRDefault="00EE7B60" w:rsidP="00EE7B60">
            <w:pPr>
              <w:pStyle w:val="Paragraphedeliste"/>
              <w:numPr>
                <w:ilvl w:val="0"/>
                <w:numId w:val="20"/>
              </w:numPr>
              <w:spacing w:line="276" w:lineRule="auto"/>
              <w:jc w:val="left"/>
              <w:rPr>
                <w:rFonts w:cs="Arial"/>
                <w:sz w:val="18"/>
                <w:szCs w:val="18"/>
              </w:rPr>
            </w:pPr>
            <w:r w:rsidRPr="00EE7B60">
              <w:rPr>
                <w:rFonts w:cs="Arial"/>
                <w:sz w:val="18"/>
                <w:szCs w:val="18"/>
              </w:rPr>
              <w:t xml:space="preserve">Vol vandalisme avec protection des locaux </w:t>
            </w:r>
          </w:p>
        </w:tc>
        <w:tc>
          <w:tcPr>
            <w:tcW w:w="2137" w:type="dxa"/>
            <w:shd w:val="clear" w:color="auto" w:fill="E2EFD9" w:themeFill="accent6" w:themeFillTint="33"/>
            <w:vAlign w:val="center"/>
          </w:tcPr>
          <w:p w14:paraId="0B2FA687" w14:textId="77777777" w:rsidR="00EE7B60" w:rsidRPr="00EE7B60" w:rsidRDefault="00EE7B60" w:rsidP="00224DC0">
            <w:pPr>
              <w:ind w:right="-18"/>
              <w:jc w:val="right"/>
              <w:rPr>
                <w:rFonts w:cs="Arial"/>
                <w:sz w:val="18"/>
                <w:szCs w:val="18"/>
              </w:rPr>
            </w:pPr>
            <w:r w:rsidRPr="00EE7B60">
              <w:rPr>
                <w:rFonts w:cs="Arial"/>
                <w:sz w:val="18"/>
                <w:szCs w:val="18"/>
              </w:rPr>
              <w:t>500 000 €</w:t>
            </w:r>
          </w:p>
        </w:tc>
        <w:tc>
          <w:tcPr>
            <w:tcW w:w="1828" w:type="dxa"/>
            <w:shd w:val="clear" w:color="auto" w:fill="E2EFD9" w:themeFill="accent6" w:themeFillTint="33"/>
            <w:vAlign w:val="center"/>
          </w:tcPr>
          <w:p w14:paraId="3E143986" w14:textId="77777777" w:rsidR="00EE7B60" w:rsidRPr="00EE7B60" w:rsidRDefault="00EE7B60" w:rsidP="00224DC0">
            <w:pPr>
              <w:jc w:val="right"/>
              <w:rPr>
                <w:rFonts w:cs="Arial"/>
                <w:sz w:val="18"/>
                <w:szCs w:val="18"/>
              </w:rPr>
            </w:pPr>
            <w:r w:rsidRPr="00EE7B60">
              <w:rPr>
                <w:rFonts w:cs="Arial"/>
                <w:sz w:val="18"/>
                <w:szCs w:val="18"/>
              </w:rPr>
              <w:t>1 500 €</w:t>
            </w:r>
          </w:p>
        </w:tc>
      </w:tr>
      <w:tr w:rsidR="00EE7B60" w:rsidRPr="00EE7B60" w14:paraId="49F533F3" w14:textId="77777777" w:rsidTr="00224DC0">
        <w:tc>
          <w:tcPr>
            <w:tcW w:w="6277" w:type="dxa"/>
            <w:shd w:val="clear" w:color="auto" w:fill="E2EFD9" w:themeFill="accent6" w:themeFillTint="33"/>
            <w:vAlign w:val="center"/>
          </w:tcPr>
          <w:p w14:paraId="09A0B6AD" w14:textId="77777777" w:rsidR="00EE7B60" w:rsidRPr="00EE7B60" w:rsidRDefault="00EE7B60" w:rsidP="00EE7B60">
            <w:pPr>
              <w:pStyle w:val="Paragraphedeliste"/>
              <w:numPr>
                <w:ilvl w:val="0"/>
                <w:numId w:val="20"/>
              </w:numPr>
              <w:jc w:val="left"/>
              <w:rPr>
                <w:rFonts w:cs="Arial"/>
                <w:sz w:val="18"/>
                <w:szCs w:val="18"/>
              </w:rPr>
            </w:pPr>
            <w:r w:rsidRPr="00EE7B60">
              <w:rPr>
                <w:rFonts w:cs="Arial"/>
                <w:sz w:val="18"/>
                <w:szCs w:val="18"/>
              </w:rPr>
              <w:t>Bris de machine (valeur d’usage)</w:t>
            </w:r>
          </w:p>
        </w:tc>
        <w:tc>
          <w:tcPr>
            <w:tcW w:w="2137" w:type="dxa"/>
            <w:shd w:val="clear" w:color="auto" w:fill="E2EFD9" w:themeFill="accent6" w:themeFillTint="33"/>
            <w:vAlign w:val="center"/>
          </w:tcPr>
          <w:p w14:paraId="758CCA16" w14:textId="77777777" w:rsidR="00EE7B60" w:rsidRPr="00EE7B60" w:rsidRDefault="00EE7B60" w:rsidP="00224DC0">
            <w:pPr>
              <w:ind w:right="-18"/>
              <w:jc w:val="right"/>
              <w:rPr>
                <w:rFonts w:cs="Arial"/>
                <w:sz w:val="18"/>
                <w:szCs w:val="18"/>
              </w:rPr>
            </w:pPr>
            <w:r w:rsidRPr="00EE7B60">
              <w:rPr>
                <w:rFonts w:cs="Arial"/>
                <w:sz w:val="18"/>
                <w:szCs w:val="18"/>
              </w:rPr>
              <w:t>50 000 € / an</w:t>
            </w:r>
          </w:p>
        </w:tc>
        <w:tc>
          <w:tcPr>
            <w:tcW w:w="1828" w:type="dxa"/>
            <w:shd w:val="clear" w:color="auto" w:fill="E2EFD9" w:themeFill="accent6" w:themeFillTint="33"/>
            <w:vAlign w:val="center"/>
          </w:tcPr>
          <w:p w14:paraId="35319385" w14:textId="77777777" w:rsidR="00EE7B60" w:rsidRPr="00EE7B60" w:rsidRDefault="00EE7B60" w:rsidP="00224DC0">
            <w:pPr>
              <w:jc w:val="right"/>
              <w:rPr>
                <w:rFonts w:cs="Arial"/>
                <w:sz w:val="18"/>
                <w:szCs w:val="18"/>
              </w:rPr>
            </w:pPr>
            <w:r w:rsidRPr="00EE7B60">
              <w:rPr>
                <w:rFonts w:cs="Arial"/>
                <w:sz w:val="18"/>
                <w:szCs w:val="18"/>
              </w:rPr>
              <w:t>10 % valeur neuf</w:t>
            </w:r>
          </w:p>
        </w:tc>
      </w:tr>
      <w:tr w:rsidR="00EE7B60" w:rsidRPr="00EE7B60" w14:paraId="08AEBDF9" w14:textId="77777777" w:rsidTr="00224DC0">
        <w:tc>
          <w:tcPr>
            <w:tcW w:w="6277" w:type="dxa"/>
            <w:shd w:val="clear" w:color="auto" w:fill="E2EFD9" w:themeFill="accent6" w:themeFillTint="33"/>
            <w:vAlign w:val="center"/>
          </w:tcPr>
          <w:p w14:paraId="5ED6DAED" w14:textId="77777777" w:rsidR="00EE7B60" w:rsidRPr="00EE7B60" w:rsidRDefault="00EE7B60" w:rsidP="00EE7B60">
            <w:pPr>
              <w:pStyle w:val="Paragraphedeliste"/>
              <w:numPr>
                <w:ilvl w:val="0"/>
                <w:numId w:val="20"/>
              </w:numPr>
              <w:spacing w:line="276" w:lineRule="auto"/>
              <w:jc w:val="left"/>
              <w:rPr>
                <w:rFonts w:cs="Arial"/>
                <w:sz w:val="18"/>
                <w:szCs w:val="18"/>
              </w:rPr>
            </w:pPr>
            <w:r w:rsidRPr="00EE7B60">
              <w:rPr>
                <w:rFonts w:cs="Arial"/>
                <w:sz w:val="18"/>
                <w:szCs w:val="18"/>
              </w:rPr>
              <w:t xml:space="preserve">Transport de marchandises </w:t>
            </w:r>
          </w:p>
        </w:tc>
        <w:tc>
          <w:tcPr>
            <w:tcW w:w="2137" w:type="dxa"/>
            <w:shd w:val="clear" w:color="auto" w:fill="E2EFD9" w:themeFill="accent6" w:themeFillTint="33"/>
            <w:vAlign w:val="center"/>
          </w:tcPr>
          <w:p w14:paraId="73999448" w14:textId="77777777" w:rsidR="00EE7B60" w:rsidRPr="00EE7B60" w:rsidRDefault="00EE7B60" w:rsidP="00224DC0">
            <w:pPr>
              <w:ind w:right="-18"/>
              <w:jc w:val="right"/>
              <w:rPr>
                <w:rFonts w:cs="Arial"/>
                <w:sz w:val="18"/>
                <w:szCs w:val="18"/>
              </w:rPr>
            </w:pPr>
            <w:r w:rsidRPr="00EE7B60">
              <w:rPr>
                <w:rFonts w:cs="Arial"/>
                <w:sz w:val="18"/>
                <w:szCs w:val="18"/>
              </w:rPr>
              <w:t>20 000 € / an</w:t>
            </w:r>
          </w:p>
        </w:tc>
        <w:tc>
          <w:tcPr>
            <w:tcW w:w="1828" w:type="dxa"/>
            <w:shd w:val="clear" w:color="auto" w:fill="E2EFD9" w:themeFill="accent6" w:themeFillTint="33"/>
            <w:vAlign w:val="center"/>
          </w:tcPr>
          <w:p w14:paraId="65DA745B" w14:textId="77777777" w:rsidR="00EE7B60" w:rsidRPr="00EE7B60" w:rsidRDefault="00EE7B60" w:rsidP="00224DC0">
            <w:pPr>
              <w:jc w:val="right"/>
              <w:rPr>
                <w:rFonts w:cs="Arial"/>
                <w:sz w:val="18"/>
                <w:szCs w:val="18"/>
              </w:rPr>
            </w:pPr>
            <w:r w:rsidRPr="00EE7B60">
              <w:rPr>
                <w:rFonts w:cs="Arial"/>
                <w:sz w:val="18"/>
                <w:szCs w:val="18"/>
              </w:rPr>
              <w:t>10 % valeur neuf</w:t>
            </w:r>
          </w:p>
        </w:tc>
      </w:tr>
      <w:tr w:rsidR="00EE7B60" w:rsidRPr="00EE7B60" w14:paraId="25289FA5" w14:textId="77777777" w:rsidTr="00224DC0">
        <w:tc>
          <w:tcPr>
            <w:tcW w:w="6277" w:type="dxa"/>
            <w:shd w:val="clear" w:color="auto" w:fill="E2EFD9" w:themeFill="accent6" w:themeFillTint="33"/>
            <w:vAlign w:val="center"/>
          </w:tcPr>
          <w:p w14:paraId="32BAB70D" w14:textId="77777777" w:rsidR="00EE7B60" w:rsidRPr="00EE7B60" w:rsidRDefault="00EE7B60" w:rsidP="00EE7B60">
            <w:pPr>
              <w:pStyle w:val="Paragraphedeliste"/>
              <w:numPr>
                <w:ilvl w:val="0"/>
                <w:numId w:val="20"/>
              </w:numPr>
              <w:spacing w:line="276" w:lineRule="auto"/>
              <w:jc w:val="left"/>
              <w:rPr>
                <w:rFonts w:cs="Arial"/>
                <w:sz w:val="18"/>
                <w:szCs w:val="18"/>
              </w:rPr>
            </w:pPr>
            <w:r w:rsidRPr="00EE7B60">
              <w:rPr>
                <w:rFonts w:cs="Arial"/>
                <w:sz w:val="18"/>
                <w:szCs w:val="18"/>
              </w:rPr>
              <w:t>Véhicule déplacement personne</w:t>
            </w:r>
          </w:p>
        </w:tc>
        <w:tc>
          <w:tcPr>
            <w:tcW w:w="2137" w:type="dxa"/>
            <w:shd w:val="clear" w:color="auto" w:fill="E2EFD9" w:themeFill="accent6" w:themeFillTint="33"/>
            <w:vAlign w:val="center"/>
          </w:tcPr>
          <w:p w14:paraId="400D2D0A" w14:textId="77777777" w:rsidR="00EE7B60" w:rsidRPr="00EE7B60" w:rsidRDefault="00EE7B60" w:rsidP="00224DC0">
            <w:pPr>
              <w:ind w:right="-18"/>
              <w:jc w:val="right"/>
              <w:rPr>
                <w:rFonts w:cs="Arial"/>
                <w:sz w:val="18"/>
                <w:szCs w:val="18"/>
              </w:rPr>
            </w:pPr>
            <w:r w:rsidRPr="00EE7B60">
              <w:rPr>
                <w:rFonts w:cs="Arial"/>
                <w:sz w:val="18"/>
                <w:szCs w:val="18"/>
              </w:rPr>
              <w:t>70 000 € / an</w:t>
            </w:r>
          </w:p>
        </w:tc>
        <w:tc>
          <w:tcPr>
            <w:tcW w:w="1828" w:type="dxa"/>
            <w:shd w:val="clear" w:color="auto" w:fill="E2EFD9" w:themeFill="accent6" w:themeFillTint="33"/>
            <w:vAlign w:val="center"/>
          </w:tcPr>
          <w:p w14:paraId="54859EC4" w14:textId="77777777" w:rsidR="00EE7B60" w:rsidRPr="00EE7B60" w:rsidRDefault="00EE7B60" w:rsidP="00224DC0">
            <w:pPr>
              <w:jc w:val="right"/>
              <w:rPr>
                <w:rFonts w:cs="Arial"/>
                <w:sz w:val="18"/>
                <w:szCs w:val="18"/>
              </w:rPr>
            </w:pPr>
            <w:r w:rsidRPr="00EE7B60">
              <w:rPr>
                <w:rFonts w:cs="Arial"/>
                <w:sz w:val="18"/>
                <w:szCs w:val="18"/>
              </w:rPr>
              <w:t>2 000 €</w:t>
            </w:r>
          </w:p>
        </w:tc>
      </w:tr>
      <w:tr w:rsidR="00EE7B60" w:rsidRPr="00EE7B60" w14:paraId="72624EA1" w14:textId="77777777" w:rsidTr="00224DC0">
        <w:tc>
          <w:tcPr>
            <w:tcW w:w="6277" w:type="dxa"/>
            <w:shd w:val="clear" w:color="auto" w:fill="E2EFD9" w:themeFill="accent6" w:themeFillTint="33"/>
            <w:vAlign w:val="center"/>
          </w:tcPr>
          <w:p w14:paraId="228139A3" w14:textId="77777777" w:rsidR="00EE7B60" w:rsidRPr="00EE7B60" w:rsidRDefault="00EE7B60" w:rsidP="00EE7B60">
            <w:pPr>
              <w:pStyle w:val="Paragraphedeliste"/>
              <w:numPr>
                <w:ilvl w:val="0"/>
                <w:numId w:val="20"/>
              </w:numPr>
              <w:jc w:val="left"/>
              <w:rPr>
                <w:rFonts w:cs="Arial"/>
                <w:sz w:val="18"/>
                <w:szCs w:val="18"/>
              </w:rPr>
            </w:pPr>
            <w:r w:rsidRPr="00EE7B60">
              <w:rPr>
                <w:rFonts w:cs="Arial"/>
                <w:sz w:val="18"/>
                <w:szCs w:val="18"/>
              </w:rPr>
              <w:t>Véhicule déplacement marchandises</w:t>
            </w:r>
          </w:p>
        </w:tc>
        <w:tc>
          <w:tcPr>
            <w:tcW w:w="2137" w:type="dxa"/>
            <w:shd w:val="clear" w:color="auto" w:fill="E2EFD9" w:themeFill="accent6" w:themeFillTint="33"/>
            <w:vAlign w:val="center"/>
          </w:tcPr>
          <w:p w14:paraId="528CDAA3" w14:textId="77777777" w:rsidR="00EE7B60" w:rsidRPr="00EE7B60" w:rsidRDefault="00EE7B60" w:rsidP="00224DC0">
            <w:pPr>
              <w:ind w:right="-18"/>
              <w:jc w:val="right"/>
              <w:rPr>
                <w:rFonts w:cs="Arial"/>
                <w:sz w:val="18"/>
                <w:szCs w:val="18"/>
              </w:rPr>
            </w:pPr>
            <w:r w:rsidRPr="00EE7B60">
              <w:rPr>
                <w:rFonts w:cs="Arial"/>
                <w:sz w:val="18"/>
                <w:szCs w:val="18"/>
              </w:rPr>
              <w:t>70 000 € / an</w:t>
            </w:r>
          </w:p>
        </w:tc>
        <w:tc>
          <w:tcPr>
            <w:tcW w:w="1828" w:type="dxa"/>
            <w:shd w:val="clear" w:color="auto" w:fill="E2EFD9" w:themeFill="accent6" w:themeFillTint="33"/>
            <w:vAlign w:val="center"/>
          </w:tcPr>
          <w:p w14:paraId="00AC7071" w14:textId="77777777" w:rsidR="00EE7B60" w:rsidRPr="00EE7B60" w:rsidRDefault="00EE7B60" w:rsidP="00224DC0">
            <w:pPr>
              <w:jc w:val="right"/>
              <w:rPr>
                <w:rFonts w:cs="Arial"/>
                <w:sz w:val="18"/>
                <w:szCs w:val="18"/>
              </w:rPr>
            </w:pPr>
            <w:r w:rsidRPr="00EE7B60">
              <w:rPr>
                <w:rFonts w:cs="Arial"/>
                <w:sz w:val="18"/>
                <w:szCs w:val="18"/>
              </w:rPr>
              <w:t>2 000 €</w:t>
            </w:r>
          </w:p>
        </w:tc>
      </w:tr>
      <w:tr w:rsidR="00EE7B60" w:rsidRPr="00EE7B60" w14:paraId="4BDDF3E3" w14:textId="77777777" w:rsidTr="00224DC0">
        <w:tc>
          <w:tcPr>
            <w:tcW w:w="6277" w:type="dxa"/>
            <w:shd w:val="clear" w:color="auto" w:fill="E2EFD9" w:themeFill="accent6" w:themeFillTint="33"/>
            <w:vAlign w:val="center"/>
          </w:tcPr>
          <w:p w14:paraId="406F5D71" w14:textId="77777777" w:rsidR="00EE7B60" w:rsidRPr="00EE7B60" w:rsidRDefault="00EE7B60" w:rsidP="00224DC0">
            <w:pPr>
              <w:jc w:val="left"/>
              <w:rPr>
                <w:rFonts w:cs="Arial"/>
                <w:sz w:val="18"/>
                <w:szCs w:val="18"/>
              </w:rPr>
            </w:pPr>
            <w:r w:rsidRPr="00EE7B60">
              <w:rPr>
                <w:rFonts w:cs="Arial"/>
                <w:b/>
                <w:sz w:val="18"/>
                <w:szCs w:val="18"/>
              </w:rPr>
              <w:t>B – Assurance des responsabilités</w:t>
            </w:r>
          </w:p>
        </w:tc>
        <w:tc>
          <w:tcPr>
            <w:tcW w:w="2137" w:type="dxa"/>
            <w:shd w:val="clear" w:color="auto" w:fill="E2EFD9" w:themeFill="accent6" w:themeFillTint="33"/>
            <w:vAlign w:val="center"/>
          </w:tcPr>
          <w:p w14:paraId="0B608D19" w14:textId="77777777" w:rsidR="00EE7B60" w:rsidRPr="00EE7B60" w:rsidRDefault="00EE7B60" w:rsidP="00224DC0">
            <w:pPr>
              <w:ind w:right="-18"/>
              <w:jc w:val="right"/>
              <w:rPr>
                <w:rFonts w:cs="Arial"/>
                <w:sz w:val="18"/>
                <w:szCs w:val="18"/>
              </w:rPr>
            </w:pPr>
          </w:p>
        </w:tc>
        <w:tc>
          <w:tcPr>
            <w:tcW w:w="1828" w:type="dxa"/>
            <w:shd w:val="clear" w:color="auto" w:fill="E2EFD9" w:themeFill="accent6" w:themeFillTint="33"/>
            <w:vAlign w:val="center"/>
          </w:tcPr>
          <w:p w14:paraId="1211B1C8" w14:textId="77777777" w:rsidR="00EE7B60" w:rsidRPr="00EE7B60" w:rsidRDefault="00EE7B60" w:rsidP="00224DC0">
            <w:pPr>
              <w:jc w:val="right"/>
              <w:rPr>
                <w:rFonts w:cs="Arial"/>
                <w:sz w:val="18"/>
                <w:szCs w:val="18"/>
              </w:rPr>
            </w:pPr>
          </w:p>
        </w:tc>
      </w:tr>
      <w:tr w:rsidR="00EE7B60" w:rsidRPr="00EE7B60" w14:paraId="750E7D9F" w14:textId="77777777" w:rsidTr="00224DC0">
        <w:tc>
          <w:tcPr>
            <w:tcW w:w="6277" w:type="dxa"/>
            <w:shd w:val="clear" w:color="auto" w:fill="E2EFD9" w:themeFill="accent6" w:themeFillTint="33"/>
            <w:vAlign w:val="center"/>
          </w:tcPr>
          <w:p w14:paraId="1CE22814" w14:textId="77777777" w:rsidR="00EE7B60" w:rsidRPr="00EE7B60" w:rsidRDefault="00EE7B60" w:rsidP="00224DC0">
            <w:pPr>
              <w:spacing w:line="276" w:lineRule="auto"/>
              <w:jc w:val="left"/>
              <w:rPr>
                <w:rFonts w:cs="Arial"/>
                <w:sz w:val="18"/>
                <w:szCs w:val="18"/>
              </w:rPr>
            </w:pPr>
            <w:r w:rsidRPr="00EE7B60">
              <w:rPr>
                <w:rFonts w:cs="Arial"/>
                <w:sz w:val="18"/>
                <w:szCs w:val="18"/>
              </w:rPr>
              <w:t>Dommage corporel, matériels, et immatériels confondus</w:t>
            </w:r>
          </w:p>
        </w:tc>
        <w:tc>
          <w:tcPr>
            <w:tcW w:w="2137" w:type="dxa"/>
            <w:shd w:val="clear" w:color="auto" w:fill="E2EFD9" w:themeFill="accent6" w:themeFillTint="33"/>
            <w:vAlign w:val="center"/>
          </w:tcPr>
          <w:p w14:paraId="2B284E39" w14:textId="77777777" w:rsidR="00EE7B60" w:rsidRPr="00EE7B60" w:rsidRDefault="00EE7B60" w:rsidP="00224DC0">
            <w:pPr>
              <w:ind w:right="-18"/>
              <w:jc w:val="right"/>
              <w:rPr>
                <w:rFonts w:cs="Arial"/>
                <w:sz w:val="18"/>
                <w:szCs w:val="18"/>
              </w:rPr>
            </w:pPr>
            <w:r w:rsidRPr="00EE7B60">
              <w:rPr>
                <w:rFonts w:cs="Arial"/>
                <w:sz w:val="18"/>
                <w:szCs w:val="18"/>
              </w:rPr>
              <w:t>10 000 000 €</w:t>
            </w:r>
          </w:p>
        </w:tc>
        <w:tc>
          <w:tcPr>
            <w:tcW w:w="1828" w:type="dxa"/>
            <w:shd w:val="clear" w:color="auto" w:fill="E2EFD9" w:themeFill="accent6" w:themeFillTint="33"/>
            <w:vAlign w:val="center"/>
          </w:tcPr>
          <w:p w14:paraId="444DBB12" w14:textId="77777777" w:rsidR="00EE7B60" w:rsidRPr="00EE7B60" w:rsidRDefault="00EE7B60" w:rsidP="00224DC0">
            <w:pPr>
              <w:jc w:val="right"/>
              <w:rPr>
                <w:rFonts w:cs="Arial"/>
                <w:sz w:val="18"/>
                <w:szCs w:val="18"/>
              </w:rPr>
            </w:pPr>
            <w:r w:rsidRPr="00EE7B60">
              <w:rPr>
                <w:rFonts w:cs="Arial"/>
                <w:sz w:val="18"/>
                <w:szCs w:val="18"/>
              </w:rPr>
              <w:t>NÉANT</w:t>
            </w:r>
          </w:p>
        </w:tc>
      </w:tr>
      <w:tr w:rsidR="00EE7B60" w:rsidRPr="00EE7B60" w14:paraId="00444CF7" w14:textId="77777777" w:rsidTr="00224DC0">
        <w:tc>
          <w:tcPr>
            <w:tcW w:w="6277" w:type="dxa"/>
            <w:shd w:val="clear" w:color="auto" w:fill="E2EFD9" w:themeFill="accent6" w:themeFillTint="33"/>
            <w:vAlign w:val="center"/>
          </w:tcPr>
          <w:p w14:paraId="47F64608" w14:textId="77777777" w:rsidR="00EE7B60" w:rsidRPr="00EE7B60" w:rsidRDefault="00EE7B60" w:rsidP="00224DC0">
            <w:pPr>
              <w:jc w:val="left"/>
              <w:rPr>
                <w:rFonts w:cs="Arial"/>
                <w:b/>
                <w:sz w:val="18"/>
                <w:szCs w:val="18"/>
              </w:rPr>
            </w:pPr>
            <w:r w:rsidRPr="00EE7B60">
              <w:rPr>
                <w:rFonts w:cs="Arial"/>
                <w:sz w:val="18"/>
                <w:szCs w:val="18"/>
              </w:rPr>
              <w:t>Dont :</w:t>
            </w:r>
          </w:p>
        </w:tc>
        <w:tc>
          <w:tcPr>
            <w:tcW w:w="2137" w:type="dxa"/>
            <w:shd w:val="clear" w:color="auto" w:fill="E2EFD9" w:themeFill="accent6" w:themeFillTint="33"/>
            <w:vAlign w:val="center"/>
          </w:tcPr>
          <w:p w14:paraId="4DE971C1" w14:textId="77777777" w:rsidR="00EE7B60" w:rsidRPr="00EE7B60" w:rsidRDefault="00EE7B60" w:rsidP="00224DC0">
            <w:pPr>
              <w:ind w:right="-18"/>
              <w:jc w:val="right"/>
              <w:rPr>
                <w:rFonts w:cs="Arial"/>
                <w:sz w:val="18"/>
                <w:szCs w:val="18"/>
              </w:rPr>
            </w:pPr>
          </w:p>
        </w:tc>
        <w:tc>
          <w:tcPr>
            <w:tcW w:w="1828" w:type="dxa"/>
            <w:shd w:val="clear" w:color="auto" w:fill="E2EFD9" w:themeFill="accent6" w:themeFillTint="33"/>
            <w:vAlign w:val="center"/>
          </w:tcPr>
          <w:p w14:paraId="0FBDD295" w14:textId="77777777" w:rsidR="00EE7B60" w:rsidRPr="00EE7B60" w:rsidRDefault="00EE7B60" w:rsidP="00224DC0">
            <w:pPr>
              <w:jc w:val="right"/>
              <w:rPr>
                <w:rFonts w:cs="Arial"/>
                <w:sz w:val="18"/>
                <w:szCs w:val="18"/>
              </w:rPr>
            </w:pPr>
          </w:p>
        </w:tc>
      </w:tr>
      <w:tr w:rsidR="00EE7B60" w:rsidRPr="00EE7B60" w14:paraId="45040988" w14:textId="77777777" w:rsidTr="00224DC0">
        <w:tc>
          <w:tcPr>
            <w:tcW w:w="6277" w:type="dxa"/>
            <w:shd w:val="clear" w:color="auto" w:fill="E2EFD9" w:themeFill="accent6" w:themeFillTint="33"/>
            <w:vAlign w:val="center"/>
          </w:tcPr>
          <w:p w14:paraId="574940FF" w14:textId="77777777" w:rsidR="00EE7B60" w:rsidRPr="00EE7B60" w:rsidRDefault="00EE7B60" w:rsidP="00EE7B60">
            <w:pPr>
              <w:pStyle w:val="Paragraphedeliste"/>
              <w:numPr>
                <w:ilvl w:val="0"/>
                <w:numId w:val="20"/>
              </w:numPr>
              <w:jc w:val="left"/>
              <w:rPr>
                <w:rFonts w:cs="Arial"/>
                <w:sz w:val="18"/>
                <w:szCs w:val="18"/>
              </w:rPr>
            </w:pPr>
            <w:r w:rsidRPr="00EE7B60">
              <w:rPr>
                <w:rFonts w:cs="Arial"/>
                <w:sz w:val="18"/>
                <w:szCs w:val="18"/>
              </w:rPr>
              <w:t>Faute inexcusable employeur</w:t>
            </w:r>
          </w:p>
        </w:tc>
        <w:tc>
          <w:tcPr>
            <w:tcW w:w="2137" w:type="dxa"/>
            <w:shd w:val="clear" w:color="auto" w:fill="E2EFD9" w:themeFill="accent6" w:themeFillTint="33"/>
            <w:vAlign w:val="center"/>
          </w:tcPr>
          <w:p w14:paraId="304F695B" w14:textId="77777777" w:rsidR="00EE7B60" w:rsidRPr="00EE7B60" w:rsidRDefault="00EE7B60" w:rsidP="00224DC0">
            <w:pPr>
              <w:ind w:right="-18"/>
              <w:jc w:val="right"/>
              <w:rPr>
                <w:rFonts w:cs="Arial"/>
                <w:sz w:val="18"/>
                <w:szCs w:val="18"/>
              </w:rPr>
            </w:pPr>
            <w:r w:rsidRPr="00EE7B60">
              <w:rPr>
                <w:rFonts w:cs="Arial"/>
                <w:sz w:val="18"/>
                <w:szCs w:val="18"/>
              </w:rPr>
              <w:t>1 000 000 €</w:t>
            </w:r>
          </w:p>
        </w:tc>
        <w:tc>
          <w:tcPr>
            <w:tcW w:w="1828" w:type="dxa"/>
            <w:shd w:val="clear" w:color="auto" w:fill="E2EFD9" w:themeFill="accent6" w:themeFillTint="33"/>
            <w:vAlign w:val="center"/>
          </w:tcPr>
          <w:p w14:paraId="71898D71" w14:textId="77777777" w:rsidR="00EE7B60" w:rsidRPr="00EE7B60" w:rsidRDefault="00EE7B60" w:rsidP="00224DC0">
            <w:pPr>
              <w:jc w:val="right"/>
              <w:rPr>
                <w:rFonts w:cs="Arial"/>
                <w:sz w:val="18"/>
                <w:szCs w:val="18"/>
              </w:rPr>
            </w:pPr>
            <w:r w:rsidRPr="00EE7B60">
              <w:rPr>
                <w:rFonts w:cs="Arial"/>
                <w:sz w:val="18"/>
                <w:szCs w:val="18"/>
              </w:rPr>
              <w:t>NÉANT</w:t>
            </w:r>
          </w:p>
        </w:tc>
      </w:tr>
      <w:tr w:rsidR="00EE7B60" w:rsidRPr="00EE7B60" w14:paraId="4B3EB5AE" w14:textId="77777777" w:rsidTr="00224DC0">
        <w:tc>
          <w:tcPr>
            <w:tcW w:w="6277" w:type="dxa"/>
            <w:shd w:val="clear" w:color="auto" w:fill="E2EFD9" w:themeFill="accent6" w:themeFillTint="33"/>
            <w:vAlign w:val="center"/>
          </w:tcPr>
          <w:p w14:paraId="46EE8C62" w14:textId="77777777" w:rsidR="00EE7B60" w:rsidRPr="00EE7B60" w:rsidRDefault="00EE7B60" w:rsidP="00224DC0">
            <w:pPr>
              <w:jc w:val="left"/>
              <w:rPr>
                <w:rFonts w:cs="Arial"/>
                <w:b/>
                <w:sz w:val="18"/>
                <w:szCs w:val="18"/>
              </w:rPr>
            </w:pPr>
            <w:r w:rsidRPr="00EE7B60">
              <w:rPr>
                <w:rFonts w:cs="Arial"/>
                <w:sz w:val="18"/>
                <w:szCs w:val="18"/>
              </w:rPr>
              <w:t>Dommages matériels et immatériels</w:t>
            </w:r>
          </w:p>
        </w:tc>
        <w:tc>
          <w:tcPr>
            <w:tcW w:w="2137" w:type="dxa"/>
            <w:shd w:val="clear" w:color="auto" w:fill="E2EFD9" w:themeFill="accent6" w:themeFillTint="33"/>
            <w:vAlign w:val="center"/>
          </w:tcPr>
          <w:p w14:paraId="488C6D9C" w14:textId="77777777" w:rsidR="00EE7B60" w:rsidRPr="00EE7B60" w:rsidRDefault="00EE7B60" w:rsidP="00224DC0">
            <w:pPr>
              <w:ind w:right="-18"/>
              <w:jc w:val="right"/>
              <w:rPr>
                <w:rFonts w:cs="Arial"/>
                <w:sz w:val="18"/>
                <w:szCs w:val="18"/>
              </w:rPr>
            </w:pPr>
            <w:r w:rsidRPr="00EE7B60">
              <w:rPr>
                <w:rFonts w:cs="Arial"/>
                <w:sz w:val="18"/>
                <w:szCs w:val="18"/>
              </w:rPr>
              <w:t>2 000 000 €</w:t>
            </w:r>
          </w:p>
        </w:tc>
        <w:tc>
          <w:tcPr>
            <w:tcW w:w="1828" w:type="dxa"/>
            <w:shd w:val="clear" w:color="auto" w:fill="E2EFD9" w:themeFill="accent6" w:themeFillTint="33"/>
            <w:vAlign w:val="center"/>
          </w:tcPr>
          <w:p w14:paraId="4E55C3A0" w14:textId="77777777" w:rsidR="00EE7B60" w:rsidRPr="00EE7B60" w:rsidRDefault="00EE7B60" w:rsidP="00224DC0">
            <w:pPr>
              <w:jc w:val="right"/>
              <w:rPr>
                <w:rFonts w:cs="Arial"/>
                <w:sz w:val="18"/>
                <w:szCs w:val="18"/>
              </w:rPr>
            </w:pPr>
            <w:r w:rsidRPr="00EE7B60">
              <w:rPr>
                <w:rFonts w:cs="Arial"/>
                <w:sz w:val="18"/>
                <w:szCs w:val="18"/>
              </w:rPr>
              <w:t>11 500 €</w:t>
            </w:r>
          </w:p>
        </w:tc>
      </w:tr>
      <w:tr w:rsidR="00EE7B60" w:rsidRPr="00EE7B60" w14:paraId="7B7F911D" w14:textId="77777777" w:rsidTr="00224DC0">
        <w:tc>
          <w:tcPr>
            <w:tcW w:w="6277" w:type="dxa"/>
            <w:shd w:val="clear" w:color="auto" w:fill="E2EFD9" w:themeFill="accent6" w:themeFillTint="33"/>
            <w:vAlign w:val="center"/>
          </w:tcPr>
          <w:p w14:paraId="3FCCA4E9"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Responsabilité d’exploitation</w:t>
            </w:r>
          </w:p>
        </w:tc>
        <w:tc>
          <w:tcPr>
            <w:tcW w:w="2137" w:type="dxa"/>
            <w:shd w:val="clear" w:color="auto" w:fill="E2EFD9" w:themeFill="accent6" w:themeFillTint="33"/>
            <w:vAlign w:val="center"/>
          </w:tcPr>
          <w:p w14:paraId="28DF4A2D" w14:textId="77777777" w:rsidR="00EE7B60" w:rsidRPr="00EE7B60" w:rsidRDefault="00EE7B60" w:rsidP="00224DC0">
            <w:pPr>
              <w:ind w:right="-18"/>
              <w:jc w:val="right"/>
              <w:rPr>
                <w:rFonts w:cs="Arial"/>
                <w:sz w:val="18"/>
                <w:szCs w:val="18"/>
              </w:rPr>
            </w:pPr>
            <w:r w:rsidRPr="00EE7B60">
              <w:rPr>
                <w:rFonts w:cs="Arial"/>
                <w:sz w:val="18"/>
                <w:szCs w:val="18"/>
              </w:rPr>
              <w:t>Illimité</w:t>
            </w:r>
          </w:p>
        </w:tc>
        <w:tc>
          <w:tcPr>
            <w:tcW w:w="1828" w:type="dxa"/>
            <w:shd w:val="clear" w:color="auto" w:fill="E2EFD9" w:themeFill="accent6" w:themeFillTint="33"/>
            <w:vAlign w:val="center"/>
          </w:tcPr>
          <w:p w14:paraId="192D576C" w14:textId="77777777" w:rsidR="00EE7B60" w:rsidRPr="00EE7B60" w:rsidRDefault="00EE7B60" w:rsidP="00224DC0">
            <w:pPr>
              <w:jc w:val="right"/>
              <w:rPr>
                <w:rFonts w:cs="Arial"/>
                <w:sz w:val="18"/>
                <w:szCs w:val="18"/>
              </w:rPr>
            </w:pPr>
            <w:r w:rsidRPr="00EE7B60">
              <w:rPr>
                <w:rFonts w:cs="Arial"/>
                <w:sz w:val="18"/>
                <w:szCs w:val="18"/>
              </w:rPr>
              <w:t>1 jour de CA</w:t>
            </w:r>
          </w:p>
        </w:tc>
      </w:tr>
      <w:tr w:rsidR="00EE7B60" w:rsidRPr="00EE7B60" w14:paraId="03BE78C0" w14:textId="77777777" w:rsidTr="00224DC0">
        <w:tc>
          <w:tcPr>
            <w:tcW w:w="6277" w:type="dxa"/>
            <w:shd w:val="clear" w:color="auto" w:fill="E2EFD9" w:themeFill="accent6" w:themeFillTint="33"/>
            <w:vAlign w:val="center"/>
          </w:tcPr>
          <w:p w14:paraId="67EEFF4B"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Dommages subis par les biens confiés, y compris les biens loués ou loués</w:t>
            </w:r>
          </w:p>
        </w:tc>
        <w:tc>
          <w:tcPr>
            <w:tcW w:w="2137" w:type="dxa"/>
            <w:shd w:val="clear" w:color="auto" w:fill="E2EFD9" w:themeFill="accent6" w:themeFillTint="33"/>
            <w:vAlign w:val="center"/>
          </w:tcPr>
          <w:p w14:paraId="56C4C087" w14:textId="77777777" w:rsidR="00EE7B60" w:rsidRPr="00EE7B60" w:rsidRDefault="00EE7B60" w:rsidP="00224DC0">
            <w:pPr>
              <w:ind w:right="-18"/>
              <w:jc w:val="right"/>
              <w:rPr>
                <w:rFonts w:cs="Arial"/>
                <w:sz w:val="18"/>
                <w:szCs w:val="18"/>
              </w:rPr>
            </w:pPr>
            <w:r w:rsidRPr="00EE7B60">
              <w:rPr>
                <w:rFonts w:cs="Arial"/>
                <w:sz w:val="18"/>
                <w:szCs w:val="18"/>
              </w:rPr>
              <w:t>150 000 €</w:t>
            </w:r>
          </w:p>
        </w:tc>
        <w:tc>
          <w:tcPr>
            <w:tcW w:w="1828" w:type="dxa"/>
            <w:shd w:val="clear" w:color="auto" w:fill="E2EFD9" w:themeFill="accent6" w:themeFillTint="33"/>
            <w:vAlign w:val="center"/>
          </w:tcPr>
          <w:p w14:paraId="551AE48B" w14:textId="77777777" w:rsidR="00EE7B60" w:rsidRPr="00EE7B60" w:rsidRDefault="00EE7B60" w:rsidP="00224DC0">
            <w:pPr>
              <w:jc w:val="right"/>
              <w:rPr>
                <w:rFonts w:cs="Arial"/>
                <w:sz w:val="18"/>
                <w:szCs w:val="18"/>
              </w:rPr>
            </w:pPr>
            <w:r w:rsidRPr="00EE7B60">
              <w:rPr>
                <w:rFonts w:cs="Arial"/>
                <w:sz w:val="18"/>
                <w:szCs w:val="18"/>
              </w:rPr>
              <w:t>11 500 €</w:t>
            </w:r>
          </w:p>
        </w:tc>
      </w:tr>
      <w:tr w:rsidR="00EE7B60" w:rsidRPr="00EE7B60" w14:paraId="0AA1A1AE" w14:textId="77777777" w:rsidTr="00224DC0">
        <w:tc>
          <w:tcPr>
            <w:tcW w:w="6277" w:type="dxa"/>
            <w:shd w:val="clear" w:color="auto" w:fill="E2EFD9" w:themeFill="accent6" w:themeFillTint="33"/>
            <w:vAlign w:val="center"/>
          </w:tcPr>
          <w:p w14:paraId="3D2AFF78"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Dommages immatériels</w:t>
            </w:r>
          </w:p>
        </w:tc>
        <w:tc>
          <w:tcPr>
            <w:tcW w:w="2137" w:type="dxa"/>
            <w:shd w:val="clear" w:color="auto" w:fill="E2EFD9" w:themeFill="accent6" w:themeFillTint="33"/>
            <w:vAlign w:val="center"/>
          </w:tcPr>
          <w:p w14:paraId="35976E65" w14:textId="77777777" w:rsidR="00EE7B60" w:rsidRPr="00EE7B60" w:rsidRDefault="00EE7B60" w:rsidP="00224DC0">
            <w:pPr>
              <w:ind w:right="-18"/>
              <w:jc w:val="right"/>
              <w:rPr>
                <w:rFonts w:cs="Arial"/>
                <w:sz w:val="18"/>
                <w:szCs w:val="18"/>
              </w:rPr>
            </w:pPr>
            <w:r w:rsidRPr="00EE7B60">
              <w:rPr>
                <w:rFonts w:cs="Arial"/>
                <w:sz w:val="18"/>
                <w:szCs w:val="18"/>
              </w:rPr>
              <w:t>700 000 €</w:t>
            </w:r>
          </w:p>
        </w:tc>
        <w:tc>
          <w:tcPr>
            <w:tcW w:w="1828" w:type="dxa"/>
            <w:shd w:val="clear" w:color="auto" w:fill="E2EFD9" w:themeFill="accent6" w:themeFillTint="33"/>
            <w:vAlign w:val="center"/>
          </w:tcPr>
          <w:p w14:paraId="0D72DD54" w14:textId="77777777" w:rsidR="00EE7B60" w:rsidRPr="00EE7B60" w:rsidRDefault="00EE7B60" w:rsidP="00224DC0">
            <w:pPr>
              <w:jc w:val="right"/>
              <w:rPr>
                <w:rFonts w:cs="Arial"/>
                <w:sz w:val="18"/>
                <w:szCs w:val="18"/>
              </w:rPr>
            </w:pPr>
            <w:r w:rsidRPr="00EE7B60">
              <w:rPr>
                <w:rFonts w:cs="Arial"/>
                <w:sz w:val="18"/>
                <w:szCs w:val="18"/>
              </w:rPr>
              <w:t>10 % du dommage</w:t>
            </w:r>
          </w:p>
        </w:tc>
      </w:tr>
      <w:tr w:rsidR="00EE7B60" w:rsidRPr="00EE7B60" w14:paraId="12494643" w14:textId="77777777" w:rsidTr="00224DC0">
        <w:tc>
          <w:tcPr>
            <w:tcW w:w="6277" w:type="dxa"/>
            <w:shd w:val="clear" w:color="auto" w:fill="E2EFD9" w:themeFill="accent6" w:themeFillTint="33"/>
            <w:vAlign w:val="center"/>
          </w:tcPr>
          <w:p w14:paraId="75C45298"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Dommages environnementaux</w:t>
            </w:r>
          </w:p>
        </w:tc>
        <w:tc>
          <w:tcPr>
            <w:tcW w:w="2137" w:type="dxa"/>
            <w:shd w:val="clear" w:color="auto" w:fill="E2EFD9" w:themeFill="accent6" w:themeFillTint="33"/>
            <w:vAlign w:val="center"/>
          </w:tcPr>
          <w:p w14:paraId="07A18EE1" w14:textId="77777777" w:rsidR="00EE7B60" w:rsidRPr="00EE7B60" w:rsidRDefault="00EE7B60" w:rsidP="00224DC0">
            <w:pPr>
              <w:ind w:right="-18"/>
              <w:jc w:val="right"/>
              <w:rPr>
                <w:rFonts w:cs="Arial"/>
                <w:sz w:val="18"/>
                <w:szCs w:val="18"/>
              </w:rPr>
            </w:pPr>
            <w:r w:rsidRPr="00EE7B60">
              <w:rPr>
                <w:rFonts w:cs="Arial"/>
                <w:sz w:val="18"/>
                <w:szCs w:val="18"/>
              </w:rPr>
              <w:t>1 500 000 €</w:t>
            </w:r>
          </w:p>
        </w:tc>
        <w:tc>
          <w:tcPr>
            <w:tcW w:w="1828" w:type="dxa"/>
            <w:shd w:val="clear" w:color="auto" w:fill="E2EFD9" w:themeFill="accent6" w:themeFillTint="33"/>
            <w:vAlign w:val="center"/>
          </w:tcPr>
          <w:p w14:paraId="5BF2F260" w14:textId="77777777" w:rsidR="00EE7B60" w:rsidRPr="00EE7B60" w:rsidRDefault="00EE7B60" w:rsidP="00224DC0">
            <w:pPr>
              <w:jc w:val="right"/>
              <w:rPr>
                <w:rFonts w:cs="Arial"/>
                <w:sz w:val="18"/>
                <w:szCs w:val="18"/>
              </w:rPr>
            </w:pPr>
            <w:r w:rsidRPr="00EE7B60">
              <w:rPr>
                <w:rFonts w:cs="Arial"/>
                <w:sz w:val="18"/>
                <w:szCs w:val="18"/>
              </w:rPr>
              <w:t>200 €</w:t>
            </w:r>
          </w:p>
        </w:tc>
      </w:tr>
      <w:tr w:rsidR="00EE7B60" w:rsidRPr="00EE7B60" w14:paraId="3D82B973" w14:textId="77777777" w:rsidTr="00224DC0">
        <w:tc>
          <w:tcPr>
            <w:tcW w:w="6277" w:type="dxa"/>
            <w:shd w:val="clear" w:color="auto" w:fill="E2EFD9" w:themeFill="accent6" w:themeFillTint="33"/>
            <w:vAlign w:val="center"/>
          </w:tcPr>
          <w:p w14:paraId="201935B5"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Dommage aux tiers après livraison</w:t>
            </w:r>
          </w:p>
        </w:tc>
        <w:tc>
          <w:tcPr>
            <w:tcW w:w="2137" w:type="dxa"/>
            <w:shd w:val="clear" w:color="auto" w:fill="E2EFD9" w:themeFill="accent6" w:themeFillTint="33"/>
            <w:vAlign w:val="center"/>
          </w:tcPr>
          <w:p w14:paraId="022E3188" w14:textId="77777777" w:rsidR="00EE7B60" w:rsidRPr="00EE7B60" w:rsidRDefault="00EE7B60" w:rsidP="00224DC0">
            <w:pPr>
              <w:ind w:right="-18"/>
              <w:jc w:val="right"/>
              <w:rPr>
                <w:rFonts w:cs="Arial"/>
                <w:sz w:val="18"/>
                <w:szCs w:val="18"/>
              </w:rPr>
            </w:pPr>
            <w:r w:rsidRPr="00EE7B60">
              <w:rPr>
                <w:rFonts w:cs="Arial"/>
                <w:sz w:val="18"/>
                <w:szCs w:val="18"/>
              </w:rPr>
              <w:t>2 000 000 €</w:t>
            </w:r>
          </w:p>
        </w:tc>
        <w:tc>
          <w:tcPr>
            <w:tcW w:w="1828" w:type="dxa"/>
            <w:shd w:val="clear" w:color="auto" w:fill="E2EFD9" w:themeFill="accent6" w:themeFillTint="33"/>
            <w:vAlign w:val="center"/>
          </w:tcPr>
          <w:p w14:paraId="412EDA8A" w14:textId="77777777" w:rsidR="00EE7B60" w:rsidRPr="00EE7B60" w:rsidRDefault="00EE7B60" w:rsidP="00224DC0">
            <w:pPr>
              <w:jc w:val="right"/>
              <w:rPr>
                <w:rFonts w:cs="Arial"/>
                <w:sz w:val="18"/>
                <w:szCs w:val="18"/>
              </w:rPr>
            </w:pPr>
            <w:r w:rsidRPr="00EE7B60">
              <w:rPr>
                <w:rFonts w:cs="Arial"/>
                <w:sz w:val="18"/>
                <w:szCs w:val="18"/>
              </w:rPr>
              <w:t>NÉANT</w:t>
            </w:r>
          </w:p>
        </w:tc>
      </w:tr>
      <w:tr w:rsidR="00EE7B60" w:rsidRPr="00EE7B60" w14:paraId="4A9F9CA6" w14:textId="77777777" w:rsidTr="00224DC0">
        <w:trPr>
          <w:trHeight w:val="361"/>
        </w:trPr>
        <w:tc>
          <w:tcPr>
            <w:tcW w:w="6277" w:type="dxa"/>
            <w:shd w:val="clear" w:color="auto" w:fill="E2EFD9" w:themeFill="accent6" w:themeFillTint="33"/>
            <w:vAlign w:val="center"/>
          </w:tcPr>
          <w:p w14:paraId="5B114F09" w14:textId="77777777" w:rsidR="00EE7B60" w:rsidRPr="00EE7B60" w:rsidRDefault="00EE7B60" w:rsidP="00EE7B60">
            <w:pPr>
              <w:pStyle w:val="Paragraphedeliste"/>
              <w:numPr>
                <w:ilvl w:val="0"/>
                <w:numId w:val="2"/>
              </w:numPr>
              <w:spacing w:line="276" w:lineRule="auto"/>
              <w:ind w:left="360"/>
              <w:jc w:val="left"/>
              <w:rPr>
                <w:rFonts w:cs="Arial"/>
                <w:sz w:val="18"/>
                <w:szCs w:val="18"/>
              </w:rPr>
            </w:pPr>
            <w:r w:rsidRPr="00EE7B60">
              <w:rPr>
                <w:rFonts w:cs="Arial"/>
                <w:sz w:val="18"/>
                <w:szCs w:val="18"/>
              </w:rPr>
              <w:t>Responsabilité médicale</w:t>
            </w:r>
          </w:p>
        </w:tc>
        <w:tc>
          <w:tcPr>
            <w:tcW w:w="2137" w:type="dxa"/>
            <w:shd w:val="clear" w:color="auto" w:fill="E2EFD9" w:themeFill="accent6" w:themeFillTint="33"/>
            <w:vAlign w:val="center"/>
          </w:tcPr>
          <w:p w14:paraId="4211F971" w14:textId="77777777" w:rsidR="00EE7B60" w:rsidRPr="00EE7B60" w:rsidRDefault="00EE7B60" w:rsidP="00224DC0">
            <w:pPr>
              <w:ind w:right="-18"/>
              <w:jc w:val="right"/>
              <w:rPr>
                <w:rFonts w:cs="Arial"/>
                <w:sz w:val="18"/>
                <w:szCs w:val="18"/>
              </w:rPr>
            </w:pPr>
            <w:r w:rsidRPr="00EE7B60">
              <w:rPr>
                <w:rFonts w:cs="Arial"/>
                <w:sz w:val="18"/>
                <w:szCs w:val="18"/>
              </w:rPr>
              <w:t>8 000 000 €</w:t>
            </w:r>
          </w:p>
        </w:tc>
        <w:tc>
          <w:tcPr>
            <w:tcW w:w="1828" w:type="dxa"/>
            <w:shd w:val="clear" w:color="auto" w:fill="E2EFD9" w:themeFill="accent6" w:themeFillTint="33"/>
            <w:vAlign w:val="center"/>
          </w:tcPr>
          <w:p w14:paraId="469B307A" w14:textId="77777777" w:rsidR="00EE7B60" w:rsidRPr="00EE7B60" w:rsidRDefault="00EE7B60" w:rsidP="00224DC0">
            <w:pPr>
              <w:jc w:val="right"/>
              <w:rPr>
                <w:rFonts w:cs="Arial"/>
                <w:sz w:val="18"/>
                <w:szCs w:val="18"/>
              </w:rPr>
            </w:pPr>
            <w:r w:rsidRPr="00EE7B60">
              <w:rPr>
                <w:rFonts w:cs="Arial"/>
                <w:sz w:val="18"/>
                <w:szCs w:val="18"/>
              </w:rPr>
              <w:t>NÉANT</w:t>
            </w:r>
          </w:p>
        </w:tc>
      </w:tr>
      <w:tr w:rsidR="00EE7B60" w:rsidRPr="00EE7B60" w14:paraId="11FEE8D5" w14:textId="77777777" w:rsidTr="00224DC0">
        <w:tc>
          <w:tcPr>
            <w:tcW w:w="6277" w:type="dxa"/>
            <w:shd w:val="clear" w:color="auto" w:fill="E2EFD9" w:themeFill="accent6" w:themeFillTint="33"/>
            <w:vAlign w:val="center"/>
          </w:tcPr>
          <w:p w14:paraId="68496E75" w14:textId="77777777" w:rsidR="00EE7B60" w:rsidRPr="00EE7B60" w:rsidRDefault="00EE7B60" w:rsidP="00224DC0">
            <w:pPr>
              <w:jc w:val="left"/>
              <w:rPr>
                <w:rFonts w:cs="Arial"/>
                <w:b/>
                <w:sz w:val="18"/>
                <w:szCs w:val="18"/>
              </w:rPr>
            </w:pPr>
            <w:r w:rsidRPr="00EE7B60">
              <w:rPr>
                <w:rFonts w:cs="Arial"/>
                <w:b/>
                <w:sz w:val="18"/>
                <w:szCs w:val="18"/>
              </w:rPr>
              <w:t>C – Assurance protection juridique</w:t>
            </w:r>
          </w:p>
        </w:tc>
        <w:tc>
          <w:tcPr>
            <w:tcW w:w="2137" w:type="dxa"/>
            <w:shd w:val="clear" w:color="auto" w:fill="E2EFD9" w:themeFill="accent6" w:themeFillTint="33"/>
            <w:vAlign w:val="bottom"/>
          </w:tcPr>
          <w:p w14:paraId="641F7CC2" w14:textId="77777777" w:rsidR="00EE7B60" w:rsidRPr="00EE7B60" w:rsidRDefault="00EE7B60" w:rsidP="00224DC0">
            <w:pPr>
              <w:ind w:right="-18"/>
              <w:jc w:val="right"/>
              <w:rPr>
                <w:rFonts w:cs="Arial"/>
                <w:sz w:val="18"/>
                <w:szCs w:val="18"/>
              </w:rPr>
            </w:pPr>
            <w:r w:rsidRPr="00EE7B60">
              <w:rPr>
                <w:rFonts w:cs="Arial"/>
                <w:sz w:val="18"/>
                <w:szCs w:val="18"/>
              </w:rPr>
              <w:t>15 000 €</w:t>
            </w:r>
          </w:p>
        </w:tc>
        <w:tc>
          <w:tcPr>
            <w:tcW w:w="1828" w:type="dxa"/>
            <w:shd w:val="clear" w:color="auto" w:fill="E2EFD9" w:themeFill="accent6" w:themeFillTint="33"/>
            <w:vAlign w:val="center"/>
          </w:tcPr>
          <w:p w14:paraId="2701FACA" w14:textId="77777777" w:rsidR="00EE7B60" w:rsidRPr="00EE7B60" w:rsidRDefault="00EE7B60" w:rsidP="00224DC0">
            <w:pPr>
              <w:jc w:val="right"/>
              <w:rPr>
                <w:rFonts w:cs="Arial"/>
                <w:sz w:val="18"/>
                <w:szCs w:val="18"/>
              </w:rPr>
            </w:pPr>
          </w:p>
        </w:tc>
      </w:tr>
      <w:tr w:rsidR="00EE7B60" w:rsidRPr="00EE7B60" w14:paraId="06CFB3E1" w14:textId="77777777" w:rsidTr="00224DC0">
        <w:tc>
          <w:tcPr>
            <w:tcW w:w="10242" w:type="dxa"/>
            <w:gridSpan w:val="3"/>
            <w:shd w:val="clear" w:color="auto" w:fill="E2EFD9" w:themeFill="accent6" w:themeFillTint="33"/>
            <w:vAlign w:val="center"/>
          </w:tcPr>
          <w:p w14:paraId="7B36F7DC" w14:textId="77777777" w:rsidR="00EE7B60" w:rsidRPr="00EE7B60" w:rsidRDefault="00EE7B60" w:rsidP="00224DC0">
            <w:pPr>
              <w:jc w:val="center"/>
              <w:rPr>
                <w:rFonts w:cs="Arial"/>
                <w:b/>
                <w:sz w:val="18"/>
                <w:szCs w:val="18"/>
              </w:rPr>
            </w:pPr>
            <w:r w:rsidRPr="00EE7B60">
              <w:rPr>
                <w:rFonts w:cs="Arial"/>
                <w:b/>
                <w:sz w:val="18"/>
                <w:szCs w:val="18"/>
              </w:rPr>
              <w:t>Tarif annuel : 24 000 €</w:t>
            </w:r>
          </w:p>
        </w:tc>
      </w:tr>
    </w:tbl>
    <w:p w14:paraId="69346314" w14:textId="77777777" w:rsidR="00EE7B60" w:rsidRPr="00EE7B60" w:rsidRDefault="00EE7B60" w:rsidP="00EE7B60">
      <w:pPr>
        <w:jc w:val="center"/>
        <w:rPr>
          <w:rFonts w:cs="Arial"/>
          <w:b/>
          <w:sz w:val="18"/>
          <w:szCs w:val="18"/>
        </w:rPr>
      </w:pPr>
    </w:p>
    <w:p w14:paraId="19C9D3C7" w14:textId="77777777" w:rsidR="00EE7B60" w:rsidRPr="00EE7B60" w:rsidRDefault="00EE7B60" w:rsidP="00EE7B60">
      <w:pPr>
        <w:pStyle w:val="Titre1"/>
        <w:shd w:val="clear" w:color="auto" w:fill="FFFFFF"/>
        <w:rPr>
          <w:rFonts w:cs="Arial"/>
          <w:color w:val="3A3A3A"/>
          <w:sz w:val="24"/>
        </w:rPr>
      </w:pPr>
      <w:r w:rsidRPr="00EE7B60">
        <w:rPr>
          <w:rFonts w:cs="Arial"/>
          <w:color w:val="FFFFFF" w:themeColor="background1"/>
          <w:sz w:val="24"/>
          <w:highlight w:val="red"/>
        </w:rPr>
        <w:lastRenderedPageBreak/>
        <w:t>Doc. 2</w:t>
      </w:r>
      <w:r w:rsidRPr="00EE7B60">
        <w:rPr>
          <w:rFonts w:cs="Arial"/>
          <w:sz w:val="24"/>
        </w:rPr>
        <w:t xml:space="preserve"> </w:t>
      </w:r>
      <w:r w:rsidRPr="00EE7B60">
        <w:rPr>
          <w:rFonts w:cs="Arial"/>
          <w:color w:val="3A3A3A"/>
          <w:sz w:val="24"/>
        </w:rPr>
        <w:t>Le dispositif d’indemnisation des catastrophes naturelles</w:t>
      </w:r>
    </w:p>
    <w:p w14:paraId="6ECE4724" w14:textId="77777777" w:rsidR="00EE7B60" w:rsidRPr="00EE7B60" w:rsidRDefault="00EE7B60" w:rsidP="00EE7B60">
      <w:pPr>
        <w:pStyle w:val="accroche"/>
        <w:shd w:val="clear" w:color="auto" w:fill="FFFFFF"/>
        <w:spacing w:before="0" w:beforeAutospacing="0" w:after="120" w:afterAutospacing="0"/>
        <w:jc w:val="both"/>
        <w:rPr>
          <w:rFonts w:ascii="Arial" w:hAnsi="Arial" w:cs="Arial"/>
          <w:i/>
          <w:iCs/>
          <w:color w:val="3A3A3A"/>
          <w:sz w:val="18"/>
          <w:szCs w:val="18"/>
        </w:rPr>
      </w:pPr>
      <w:r w:rsidRPr="00EE7B60">
        <w:rPr>
          <w:rFonts w:ascii="Arial" w:hAnsi="Arial" w:cs="Arial"/>
          <w:i/>
          <w:iCs/>
          <w:color w:val="3A3A3A"/>
          <w:sz w:val="18"/>
          <w:szCs w:val="18"/>
        </w:rPr>
        <w:t>Source : https://www.georisques.gouv.fr/</w:t>
      </w:r>
    </w:p>
    <w:p w14:paraId="7A8C25B6" w14:textId="77777777" w:rsidR="00EE7B60" w:rsidRPr="00EE7B60" w:rsidRDefault="00EE7B60" w:rsidP="00EE7B60">
      <w:pPr>
        <w:pStyle w:val="accroche"/>
        <w:shd w:val="clear" w:color="auto" w:fill="FFFFFF"/>
        <w:spacing w:before="0" w:beforeAutospacing="0" w:after="120" w:afterAutospacing="0"/>
        <w:jc w:val="both"/>
        <w:rPr>
          <w:rFonts w:ascii="Arial" w:hAnsi="Arial" w:cs="Arial"/>
          <w:color w:val="3A3A3A"/>
          <w:sz w:val="20"/>
          <w:szCs w:val="20"/>
        </w:rPr>
      </w:pPr>
      <w:r w:rsidRPr="00EE7B60">
        <w:rPr>
          <w:rFonts w:ascii="Arial" w:hAnsi="Arial" w:cs="Arial"/>
          <w:color w:val="3A3A3A"/>
          <w:sz w:val="20"/>
          <w:szCs w:val="20"/>
        </w:rPr>
        <w:t xml:space="preserve">Mécanisme fondé sur la solidarité nationale, le régime d’indemnisation des catastrophes naturelles, dit </w:t>
      </w:r>
      <w:r w:rsidRPr="00EE7B60">
        <w:rPr>
          <w:rFonts w:ascii="Arial" w:hAnsi="Arial" w:cs="Arial"/>
          <w:b/>
          <w:bCs/>
          <w:color w:val="3A3A3A"/>
          <w:sz w:val="20"/>
          <w:szCs w:val="20"/>
        </w:rPr>
        <w:t>Cat-Nat</w:t>
      </w:r>
      <w:r w:rsidRPr="00EE7B60">
        <w:rPr>
          <w:rFonts w:ascii="Arial" w:hAnsi="Arial" w:cs="Arial"/>
          <w:color w:val="3A3A3A"/>
          <w:sz w:val="20"/>
          <w:szCs w:val="20"/>
        </w:rPr>
        <w:t xml:space="preserve">, permet aux particuliers, aux entreprises et aux collectivités d’être indemnisés en cas de situation déclarée </w:t>
      </w:r>
      <w:r w:rsidRPr="00EE7B60">
        <w:rPr>
          <w:rFonts w:ascii="Arial" w:hAnsi="Arial" w:cs="Arial"/>
          <w:b/>
          <w:bCs/>
          <w:color w:val="3A3A3A"/>
          <w:sz w:val="20"/>
          <w:szCs w:val="20"/>
        </w:rPr>
        <w:t>catastrophe naturelle</w:t>
      </w:r>
      <w:r w:rsidRPr="00EE7B60">
        <w:rPr>
          <w:rFonts w:ascii="Arial" w:hAnsi="Arial" w:cs="Arial"/>
          <w:color w:val="3A3A3A"/>
          <w:sz w:val="20"/>
          <w:szCs w:val="20"/>
        </w:rPr>
        <w:t>.</w:t>
      </w:r>
    </w:p>
    <w:p w14:paraId="6D8FBE36" w14:textId="77777777" w:rsidR="00EE7B60" w:rsidRPr="00EE7B60" w:rsidRDefault="00EE7B60" w:rsidP="00EE7B60">
      <w:pPr>
        <w:pStyle w:val="Titre2"/>
        <w:shd w:val="clear" w:color="auto" w:fill="FFFFFF"/>
        <w:spacing w:before="120" w:after="0"/>
        <w:rPr>
          <w:color w:val="3A3A3A"/>
          <w:sz w:val="20"/>
        </w:rPr>
      </w:pPr>
      <w:r w:rsidRPr="00EE7B60">
        <w:rPr>
          <w:color w:val="3A3A3A"/>
          <w:sz w:val="20"/>
        </w:rPr>
        <w:t>Quand le dispositif Cat-Nat s’applique-t-il ?</w:t>
      </w:r>
    </w:p>
    <w:p w14:paraId="3E810AA3" w14:textId="77777777" w:rsidR="00EE7B60" w:rsidRPr="00EE7B60" w:rsidRDefault="00EE7B60" w:rsidP="00EE7B60">
      <w:pPr>
        <w:pStyle w:val="text-align-justify"/>
        <w:shd w:val="clear" w:color="auto" w:fill="FFFFFF"/>
        <w:spacing w:before="0" w:beforeAutospacing="0" w:after="0" w:afterAutospacing="0"/>
        <w:jc w:val="both"/>
        <w:rPr>
          <w:rFonts w:ascii="Arial" w:hAnsi="Arial" w:cs="Arial"/>
          <w:color w:val="3A3A3A"/>
          <w:sz w:val="20"/>
          <w:szCs w:val="20"/>
        </w:rPr>
      </w:pPr>
      <w:r w:rsidRPr="00EE7B60">
        <w:rPr>
          <w:rFonts w:ascii="Arial" w:hAnsi="Arial" w:cs="Arial"/>
          <w:color w:val="3A3A3A"/>
          <w:sz w:val="20"/>
          <w:szCs w:val="20"/>
        </w:rPr>
        <w:t>Il s’applique notamment après : </w:t>
      </w:r>
    </w:p>
    <w:p w14:paraId="7781F424"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des inondations (par ruissellement, par débordement de cours d’eau ou par remontée de nappe) ;</w:t>
      </w:r>
    </w:p>
    <w:p w14:paraId="4F7FFC9E"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des phénomènes liés à l’action de la mer (submersion marine, fortes vagues, etc.) ;</w:t>
      </w:r>
    </w:p>
    <w:p w14:paraId="7C0B16D5"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des épisodes de sécheresse-réhydratation des sols argileux (« retrait et gonflement des argiles ») ;</w:t>
      </w:r>
    </w:p>
    <w:p w14:paraId="5077D6A0"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des mouvements de terrain ; des avalanches ; des séismes ; des éruptions volcaniques ;</w:t>
      </w:r>
    </w:p>
    <w:p w14:paraId="20718BAC"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des cyclones ou des ouragans (vents supérieurs à 145 km/h en moyenne sur 10 min, ou 215 km/h en rafales).</w:t>
      </w:r>
    </w:p>
    <w:p w14:paraId="3F080D44" w14:textId="77777777" w:rsidR="00EE7B60" w:rsidRPr="00EE7B60" w:rsidRDefault="00EE7B60" w:rsidP="00EE7B60">
      <w:pPr>
        <w:pStyle w:val="text-align-justify"/>
        <w:shd w:val="clear" w:color="auto" w:fill="FFFFFF"/>
        <w:spacing w:before="120" w:beforeAutospacing="0" w:after="0" w:afterAutospacing="0"/>
        <w:jc w:val="both"/>
        <w:rPr>
          <w:rFonts w:ascii="Arial" w:hAnsi="Arial" w:cs="Arial"/>
          <w:color w:val="3A3A3A"/>
          <w:sz w:val="20"/>
          <w:szCs w:val="20"/>
        </w:rPr>
      </w:pPr>
      <w:r w:rsidRPr="00EE7B60">
        <w:rPr>
          <w:rStyle w:val="lev"/>
          <w:rFonts w:ascii="Arial" w:hAnsi="Arial" w:cs="Arial"/>
          <w:color w:val="3A3A3A"/>
          <w:sz w:val="20"/>
          <w:szCs w:val="20"/>
        </w:rPr>
        <w:t>En revanche, le dispositif d’indemnisation ne couvre pas</w:t>
      </w:r>
      <w:r w:rsidRPr="00EE7B60">
        <w:rPr>
          <w:rFonts w:ascii="Arial" w:hAnsi="Arial" w:cs="Arial"/>
          <w:color w:val="3A3A3A"/>
          <w:sz w:val="20"/>
          <w:szCs w:val="20"/>
        </w:rPr>
        <w:t> les dommages provoqués par les feux de forêts et de végétation, par les vents violents dont la vitesse est inférieure à celle des cyclones et ouragans, ni les dommages causés par la grêle ou le poids de la neige. Ces dégâts sont couverts par d’autres garanties, incluses dans les contrats dommages aux biens de manière obligatoire (tempête) ou optionnelle (grêle et neige).</w:t>
      </w:r>
    </w:p>
    <w:p w14:paraId="32F1C3FE" w14:textId="77777777" w:rsidR="00EE7B60" w:rsidRPr="00EE7B60" w:rsidRDefault="00EE7B60" w:rsidP="00EE7B60">
      <w:pPr>
        <w:pStyle w:val="Titre2"/>
        <w:shd w:val="clear" w:color="auto" w:fill="FFFFFF"/>
        <w:spacing w:before="120" w:after="0"/>
        <w:rPr>
          <w:color w:val="3A3A3A"/>
          <w:sz w:val="20"/>
        </w:rPr>
      </w:pPr>
      <w:r w:rsidRPr="00EE7B60">
        <w:rPr>
          <w:color w:val="3A3A3A"/>
          <w:sz w:val="20"/>
        </w:rPr>
        <w:t>Quels types de dommages couvre le régime Cat-Nat ?</w:t>
      </w:r>
    </w:p>
    <w:p w14:paraId="7FF8BC63" w14:textId="77777777" w:rsidR="00EE7B60" w:rsidRPr="00EE7B60" w:rsidRDefault="00EE7B60" w:rsidP="00EE7B60">
      <w:pPr>
        <w:pStyle w:val="text-align-justify"/>
        <w:shd w:val="clear" w:color="auto" w:fill="FFFFFF"/>
        <w:spacing w:before="0" w:beforeAutospacing="0" w:after="0" w:afterAutospacing="0"/>
        <w:jc w:val="both"/>
        <w:rPr>
          <w:rFonts w:ascii="Arial" w:hAnsi="Arial" w:cs="Arial"/>
          <w:color w:val="3A3A3A"/>
          <w:sz w:val="20"/>
          <w:szCs w:val="20"/>
        </w:rPr>
      </w:pPr>
      <w:r w:rsidRPr="00EE7B60">
        <w:rPr>
          <w:rFonts w:ascii="Arial" w:hAnsi="Arial" w:cs="Arial"/>
          <w:color w:val="3A3A3A"/>
          <w:sz w:val="20"/>
          <w:szCs w:val="20"/>
        </w:rPr>
        <w:t>Seuls sont indemnisés les dommages matériels directement causés sur des biens assurés. Cela peut être : </w:t>
      </w:r>
    </w:p>
    <w:p w14:paraId="04602F5C"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dommages directs causés aux bâtiments, au matériel et au mobilier, mais aussi aux véhicules ;</w:t>
      </w:r>
    </w:p>
    <w:p w14:paraId="7905869A"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frais de démolition et de déblais des biens sinistrés ;</w:t>
      </w:r>
    </w:p>
    <w:p w14:paraId="6409CC43"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dommages liés à l’humidité ou à la condensation consécutive à la stagnation de l’eau dans les locaux ;</w:t>
      </w:r>
    </w:p>
    <w:p w14:paraId="66EE0C2A"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frais de nettoyage des locaux sinistrés, et toute mesure de sauvetage ;</w:t>
      </w:r>
    </w:p>
    <w:p w14:paraId="5555A1B1"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frais d’études géotechniques nécessaires à la remise en état des biens ;</w:t>
      </w:r>
    </w:p>
    <w:p w14:paraId="5128D57F"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les pertes d’exploitation consécutives aux dommages directs.</w:t>
      </w:r>
    </w:p>
    <w:p w14:paraId="26934CF1" w14:textId="77777777" w:rsidR="00EE7B60" w:rsidRPr="00EE7B60" w:rsidRDefault="00EE7B60" w:rsidP="00EE7B60">
      <w:pPr>
        <w:pStyle w:val="text-align-justify"/>
        <w:shd w:val="clear" w:color="auto" w:fill="FFFFFF"/>
        <w:spacing w:before="120" w:beforeAutospacing="0" w:after="0" w:afterAutospacing="0"/>
        <w:jc w:val="both"/>
        <w:rPr>
          <w:rFonts w:ascii="Arial" w:hAnsi="Arial" w:cs="Arial"/>
          <w:color w:val="3A3A3A"/>
          <w:sz w:val="20"/>
          <w:szCs w:val="20"/>
        </w:rPr>
      </w:pPr>
      <w:r w:rsidRPr="00EE7B60">
        <w:rPr>
          <w:rFonts w:ascii="Arial" w:hAnsi="Arial" w:cs="Arial"/>
          <w:color w:val="3A3A3A"/>
          <w:sz w:val="20"/>
          <w:szCs w:val="20"/>
        </w:rPr>
        <w:t>Ne jetez pas vos biens endommagés ! Ils seront examinés par un expert mandaté par votre assureur afin d’évaluer leur valeur. Pensez aussi à photographier les dommages afin de les documenter avant toute opération de nettoyage.</w:t>
      </w:r>
    </w:p>
    <w:p w14:paraId="7BFB914A" w14:textId="77777777" w:rsidR="00EE7B60" w:rsidRPr="00EE7B60" w:rsidRDefault="00EE7B60" w:rsidP="00EE7B60">
      <w:pPr>
        <w:pStyle w:val="Titre2"/>
        <w:shd w:val="clear" w:color="auto" w:fill="FFFFFF"/>
        <w:spacing w:before="120" w:after="0"/>
        <w:rPr>
          <w:color w:val="3A3A3A"/>
          <w:sz w:val="20"/>
        </w:rPr>
      </w:pPr>
      <w:r w:rsidRPr="00EE7B60">
        <w:rPr>
          <w:color w:val="3A3A3A"/>
          <w:sz w:val="20"/>
        </w:rPr>
        <w:t>Comment se faire indemniser en cas de catastrophes naturelles ? </w:t>
      </w:r>
    </w:p>
    <w:p w14:paraId="7D01B89E" w14:textId="77777777" w:rsidR="00EE7B60" w:rsidRPr="00EE7B60" w:rsidRDefault="00EE7B60" w:rsidP="00EE7B60">
      <w:pPr>
        <w:pStyle w:val="text-align-justify"/>
        <w:shd w:val="clear" w:color="auto" w:fill="FFFFFF"/>
        <w:spacing w:before="0" w:beforeAutospacing="0" w:after="0" w:afterAutospacing="0"/>
        <w:jc w:val="both"/>
        <w:rPr>
          <w:rFonts w:ascii="Arial" w:hAnsi="Arial" w:cs="Arial"/>
          <w:color w:val="3A3A3A"/>
          <w:sz w:val="20"/>
          <w:szCs w:val="20"/>
        </w:rPr>
      </w:pPr>
      <w:r w:rsidRPr="00EE7B60">
        <w:rPr>
          <w:rFonts w:ascii="Arial" w:hAnsi="Arial" w:cs="Arial"/>
          <w:color w:val="3A3A3A"/>
          <w:sz w:val="20"/>
          <w:szCs w:val="20"/>
        </w:rPr>
        <w:t>Deux conditions sont à remplir :</w:t>
      </w:r>
    </w:p>
    <w:p w14:paraId="4614859A"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il faut avoir souscrit une assurance de dommages aux biens (multirisques habitation, multirisques automobile, local professionnel…). La garantie catastrophes naturelles fait systématiquement partie de ces contrats, sauf pour les bateaux. Les biens couverts uniquement par un contrat d’assurance responsabilité civile ne bénéficient pas de cette garantie ;</w:t>
      </w:r>
    </w:p>
    <w:p w14:paraId="1C5636B2"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color w:val="3A3A3A"/>
          <w:sz w:val="20"/>
          <w:szCs w:val="20"/>
        </w:rPr>
        <w:t>la catastrophe naturelle doit avoir été reconnue comme telle par un arrêté interministériel publié au Journal officiel de la République française (JO), qui précise les zones touchées, les périodes auxquelles les faits se sont produits et la nature des dommages causés par l’événement. Il revient au maire de procéder à cette </w:t>
      </w:r>
      <w:r w:rsidRPr="00EE7B60">
        <w:rPr>
          <w:rFonts w:ascii="Arial" w:hAnsi="Arial" w:cs="Arial"/>
          <w:sz w:val="20"/>
          <w:szCs w:val="20"/>
        </w:rPr>
        <w:t>demande de reconnaissance de l’état de catastrophe naturelle</w:t>
      </w:r>
      <w:r w:rsidRPr="00EE7B60">
        <w:rPr>
          <w:rFonts w:ascii="Arial" w:hAnsi="Arial" w:cs="Arial"/>
          <w:color w:val="3A3A3A"/>
          <w:sz w:val="20"/>
          <w:szCs w:val="20"/>
        </w:rPr>
        <w:t> pour la commune.</w:t>
      </w:r>
    </w:p>
    <w:p w14:paraId="327D04A9" w14:textId="77777777" w:rsidR="00EE7B60" w:rsidRPr="00EE7B60" w:rsidRDefault="00EE7B60" w:rsidP="00EE7B60">
      <w:pPr>
        <w:pStyle w:val="text-align-justify"/>
        <w:shd w:val="clear" w:color="auto" w:fill="FFFFFF"/>
        <w:spacing w:before="120" w:beforeAutospacing="0" w:after="0" w:afterAutospacing="0"/>
        <w:jc w:val="both"/>
        <w:rPr>
          <w:rFonts w:ascii="Arial" w:hAnsi="Arial" w:cs="Arial"/>
          <w:color w:val="3A3A3A"/>
          <w:sz w:val="20"/>
          <w:szCs w:val="20"/>
        </w:rPr>
      </w:pPr>
      <w:r w:rsidRPr="00EE7B60">
        <w:rPr>
          <w:rStyle w:val="lev"/>
          <w:rFonts w:ascii="Arial" w:hAnsi="Arial" w:cs="Arial"/>
          <w:color w:val="3A3A3A"/>
          <w:sz w:val="20"/>
          <w:szCs w:val="20"/>
        </w:rPr>
        <w:t>Une fois, l’arrêté interministériel publié au JO, l'assuré a dix jours pour déclarer son sinistre auprès de sa compagnie d’assurance</w:t>
      </w:r>
      <w:r w:rsidRPr="00EE7B60">
        <w:rPr>
          <w:rFonts w:ascii="Arial" w:hAnsi="Arial" w:cs="Arial"/>
          <w:color w:val="3A3A3A"/>
          <w:sz w:val="20"/>
          <w:szCs w:val="20"/>
        </w:rPr>
        <w:t>. Celle-ci a trois mois pour indemniser les sinistrés à partir de cette publication.</w:t>
      </w:r>
    </w:p>
    <w:p w14:paraId="01289181" w14:textId="77777777" w:rsidR="00EE7B60" w:rsidRPr="00EE7B60" w:rsidRDefault="00EE7B60" w:rsidP="00EE7B60">
      <w:pPr>
        <w:pStyle w:val="text-align-justify"/>
        <w:shd w:val="clear" w:color="auto" w:fill="FFFFFF"/>
        <w:spacing w:before="0" w:beforeAutospacing="0" w:after="0" w:afterAutospacing="0"/>
        <w:jc w:val="both"/>
        <w:rPr>
          <w:rFonts w:ascii="Arial" w:hAnsi="Arial" w:cs="Arial"/>
          <w:color w:val="3A3A3A"/>
          <w:sz w:val="20"/>
          <w:szCs w:val="20"/>
        </w:rPr>
      </w:pPr>
      <w:r w:rsidRPr="00EE7B60">
        <w:rPr>
          <w:rFonts w:ascii="Arial" w:hAnsi="Arial" w:cs="Arial"/>
          <w:color w:val="3A3A3A"/>
          <w:sz w:val="20"/>
          <w:szCs w:val="20"/>
        </w:rPr>
        <w:t>À noter : </w:t>
      </w:r>
    </w:p>
    <w:p w14:paraId="0C62A7A1"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b/>
          <w:bCs/>
          <w:sz w:val="20"/>
          <w:szCs w:val="20"/>
        </w:rPr>
        <w:t>si les biens ont été construits malgré l’interdiction faite par un plan de prévention des risques naturels (</w:t>
      </w:r>
      <w:proofErr w:type="spellStart"/>
      <w:r w:rsidRPr="00EE7B60">
        <w:rPr>
          <w:rFonts w:ascii="Arial" w:hAnsi="Arial" w:cs="Arial"/>
          <w:b/>
          <w:bCs/>
          <w:sz w:val="20"/>
          <w:szCs w:val="20"/>
        </w:rPr>
        <w:t>PPRN</w:t>
      </w:r>
      <w:proofErr w:type="spellEnd"/>
      <w:r w:rsidRPr="00EE7B60">
        <w:rPr>
          <w:rFonts w:ascii="Arial" w:hAnsi="Arial" w:cs="Arial"/>
          <w:b/>
          <w:bCs/>
          <w:sz w:val="20"/>
          <w:szCs w:val="20"/>
        </w:rPr>
        <w:t>)</w:t>
      </w:r>
      <w:r w:rsidRPr="00EE7B60">
        <w:rPr>
          <w:rFonts w:ascii="Arial" w:hAnsi="Arial" w:cs="Arial"/>
          <w:color w:val="3A3A3A"/>
          <w:sz w:val="20"/>
          <w:szCs w:val="20"/>
        </w:rPr>
        <w:t>, l’assureur n’a pas l’obligation de couvrir les dommages dus à une catastrophe naturelle ; </w:t>
      </w:r>
    </w:p>
    <w:p w14:paraId="3FC593F2" w14:textId="77777777" w:rsidR="00EE7B60" w:rsidRPr="00EE7B60" w:rsidRDefault="00EE7B60" w:rsidP="00EE7B60">
      <w:pPr>
        <w:pStyle w:val="text-align-justify"/>
        <w:numPr>
          <w:ilvl w:val="0"/>
          <w:numId w:val="17"/>
        </w:numPr>
        <w:shd w:val="clear" w:color="auto" w:fill="FFFFFF"/>
        <w:tabs>
          <w:tab w:val="clear" w:pos="360"/>
        </w:tabs>
        <w:spacing w:before="0" w:beforeAutospacing="0" w:after="0" w:afterAutospacing="0"/>
        <w:ind w:left="284" w:hanging="142"/>
        <w:jc w:val="both"/>
        <w:rPr>
          <w:rFonts w:ascii="Arial" w:hAnsi="Arial" w:cs="Arial"/>
          <w:color w:val="3A3A3A"/>
          <w:sz w:val="20"/>
          <w:szCs w:val="20"/>
        </w:rPr>
      </w:pPr>
      <w:r w:rsidRPr="00EE7B60">
        <w:rPr>
          <w:rFonts w:ascii="Arial" w:hAnsi="Arial" w:cs="Arial"/>
          <w:b/>
          <w:bCs/>
          <w:sz w:val="20"/>
          <w:szCs w:val="20"/>
        </w:rPr>
        <w:t xml:space="preserve">si les travaux de prévention exigés par un </w:t>
      </w:r>
      <w:proofErr w:type="spellStart"/>
      <w:r w:rsidRPr="00EE7B60">
        <w:rPr>
          <w:rFonts w:ascii="Arial" w:hAnsi="Arial" w:cs="Arial"/>
          <w:b/>
          <w:bCs/>
          <w:sz w:val="20"/>
          <w:szCs w:val="20"/>
        </w:rPr>
        <w:t>PPRN</w:t>
      </w:r>
      <w:proofErr w:type="spellEnd"/>
      <w:r w:rsidRPr="00EE7B60">
        <w:rPr>
          <w:rFonts w:ascii="Arial" w:hAnsi="Arial" w:cs="Arial"/>
          <w:b/>
          <w:bCs/>
          <w:sz w:val="20"/>
          <w:szCs w:val="20"/>
        </w:rPr>
        <w:t xml:space="preserve"> n’ont pas été réalisés dans les cinq ans</w:t>
      </w:r>
      <w:r w:rsidRPr="00EE7B60">
        <w:rPr>
          <w:rFonts w:ascii="Arial" w:hAnsi="Arial" w:cs="Arial"/>
          <w:color w:val="3A3A3A"/>
          <w:sz w:val="20"/>
          <w:szCs w:val="20"/>
        </w:rPr>
        <w:t> après la mise en place de ce plan, l’assureur n’a pas l’obligation de prendre en charge les dégâts occasionnés.</w:t>
      </w:r>
    </w:p>
    <w:p w14:paraId="547D757B" w14:textId="77777777" w:rsidR="00EE7B60" w:rsidRDefault="00EE7B60" w:rsidP="00EE7B60">
      <w:pPr>
        <w:rPr>
          <w:rFonts w:cs="Arial"/>
          <w:b/>
          <w:color w:val="FFFFFF" w:themeColor="background1"/>
          <w:sz w:val="24"/>
          <w:lang w:eastAsia="fr-FR"/>
        </w:rPr>
      </w:pPr>
    </w:p>
    <w:p w14:paraId="6C10C8D9" w14:textId="77777777" w:rsidR="00EE7B60" w:rsidRPr="00EE7B60" w:rsidRDefault="00EE7B60" w:rsidP="00EE7B60">
      <w:pPr>
        <w:pStyle w:val="Titre1"/>
        <w:textAlignment w:val="baseline"/>
        <w:rPr>
          <w:rFonts w:cs="Arial"/>
          <w:sz w:val="24"/>
          <w:szCs w:val="40"/>
        </w:rPr>
      </w:pPr>
      <w:r w:rsidRPr="00EE7B60">
        <w:rPr>
          <w:rFonts w:cs="Arial"/>
          <w:color w:val="FFFFFF" w:themeColor="background1"/>
          <w:sz w:val="24"/>
          <w:highlight w:val="red"/>
        </w:rPr>
        <w:t>Doc. 3</w:t>
      </w:r>
      <w:r w:rsidRPr="00EE7B60">
        <w:rPr>
          <w:rFonts w:cs="Arial"/>
          <w:sz w:val="24"/>
        </w:rPr>
        <w:t xml:space="preserve"> </w:t>
      </w:r>
      <w:r w:rsidRPr="00EE7B60">
        <w:rPr>
          <w:rFonts w:cs="Arial"/>
          <w:sz w:val="24"/>
          <w:szCs w:val="16"/>
        </w:rPr>
        <w:t>La responsabilité environnementale et l’assurance des entreprises</w:t>
      </w:r>
    </w:p>
    <w:p w14:paraId="5AF60C84" w14:textId="77777777" w:rsidR="00EE7B60" w:rsidRPr="00EE7B60" w:rsidRDefault="00EE7B60" w:rsidP="00EE7B60">
      <w:pPr>
        <w:pStyle w:val="NormalWeb"/>
        <w:shd w:val="clear" w:color="auto" w:fill="FFFFFF"/>
        <w:spacing w:before="0" w:beforeAutospacing="0" w:after="120" w:afterAutospacing="0"/>
        <w:textAlignment w:val="baseline"/>
        <w:rPr>
          <w:rStyle w:val="lev"/>
          <w:rFonts w:ascii="Arial" w:hAnsi="Arial" w:cs="Arial"/>
          <w:b w:val="0"/>
          <w:bCs w:val="0"/>
          <w:i/>
          <w:iCs/>
          <w:color w:val="666666"/>
          <w:sz w:val="18"/>
          <w:szCs w:val="18"/>
          <w:bdr w:val="none" w:sz="0" w:space="0" w:color="auto" w:frame="1"/>
        </w:rPr>
      </w:pPr>
      <w:r w:rsidRPr="00EE7B60">
        <w:rPr>
          <w:rStyle w:val="lev"/>
          <w:rFonts w:ascii="Arial" w:hAnsi="Arial" w:cs="Arial"/>
          <w:i/>
          <w:iCs/>
          <w:color w:val="666666"/>
          <w:sz w:val="18"/>
          <w:szCs w:val="18"/>
          <w:bdr w:val="none" w:sz="0" w:space="0" w:color="auto" w:frame="1"/>
        </w:rPr>
        <w:t>Source : https://www.franceassureurs.fr/</w:t>
      </w:r>
    </w:p>
    <w:p w14:paraId="2C4AFC25" w14:textId="77777777" w:rsidR="00EE7B60" w:rsidRPr="00EE7B60" w:rsidRDefault="00EE7B60" w:rsidP="00EE7B60">
      <w:pPr>
        <w:pStyle w:val="NormalWeb"/>
        <w:shd w:val="clear" w:color="auto" w:fill="FFFFFF"/>
        <w:spacing w:before="0" w:beforeAutospacing="0" w:after="120" w:afterAutospacing="0"/>
        <w:textAlignment w:val="baseline"/>
        <w:rPr>
          <w:rFonts w:ascii="Arial" w:hAnsi="Arial" w:cs="Arial"/>
          <w:b/>
          <w:bCs/>
          <w:color w:val="666666"/>
          <w:sz w:val="18"/>
          <w:szCs w:val="18"/>
        </w:rPr>
      </w:pPr>
      <w:r w:rsidRPr="00EE7B60">
        <w:rPr>
          <w:rStyle w:val="lev"/>
          <w:rFonts w:ascii="Arial" w:hAnsi="Arial" w:cs="Arial"/>
          <w:color w:val="666666"/>
          <w:sz w:val="18"/>
          <w:szCs w:val="18"/>
          <w:bdr w:val="none" w:sz="0" w:space="0" w:color="auto" w:frame="1"/>
        </w:rPr>
        <w:t>Les entreprises sont soumises à une responsabilité environnementale selon le principe dit du « pollueur-payeur ». Les assureurs ont développé des solutions assurantielles adaptées qui répondent aux besoins des entreprises.</w:t>
      </w:r>
    </w:p>
    <w:p w14:paraId="53B7E943" w14:textId="77777777" w:rsidR="00EE7B60" w:rsidRPr="00EE7B60" w:rsidRDefault="00EE7B60" w:rsidP="00EE7B60">
      <w:pPr>
        <w:pStyle w:val="Titre3"/>
        <w:numPr>
          <w:ilvl w:val="0"/>
          <w:numId w:val="21"/>
        </w:numPr>
        <w:shd w:val="clear" w:color="auto" w:fill="FFFFFF"/>
        <w:spacing w:before="120" w:after="120"/>
        <w:textAlignment w:val="baseline"/>
        <w:rPr>
          <w:rFonts w:ascii="Arial" w:hAnsi="Arial" w:cs="Arial"/>
          <w:b/>
          <w:bCs/>
          <w:color w:val="666666"/>
          <w:sz w:val="20"/>
          <w:szCs w:val="20"/>
        </w:rPr>
      </w:pPr>
      <w:r w:rsidRPr="00EE7B60">
        <w:rPr>
          <w:rFonts w:ascii="Arial" w:hAnsi="Arial" w:cs="Arial"/>
          <w:b/>
          <w:bCs/>
          <w:color w:val="666666"/>
          <w:sz w:val="20"/>
          <w:szCs w:val="20"/>
        </w:rPr>
        <w:t>Qu’est-ce que le principe du « pollueur-payeur » ?</w:t>
      </w:r>
    </w:p>
    <w:p w14:paraId="517C96AA"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bdr w:val="none" w:sz="0" w:space="0" w:color="auto" w:frame="1"/>
        </w:rPr>
        <w:t>La loi du 1er août 2008</w:t>
      </w:r>
      <w:r w:rsidRPr="00EE7B60">
        <w:rPr>
          <w:rFonts w:ascii="Arial" w:hAnsi="Arial" w:cs="Arial"/>
          <w:color w:val="666666"/>
          <w:sz w:val="18"/>
          <w:szCs w:val="18"/>
        </w:rPr>
        <w:t> a introduit une responsabilité environnementale pour les entreprises, selon le principe du pollueur-payeur. Il s’agit de la mise en jeu, en cas de dommage grave ou de menace imminente de dommage grave à l’environnement, de la responsabilité environnementale d’une entreprise, du fait de son activité professionnelle.</w:t>
      </w:r>
    </w:p>
    <w:p w14:paraId="33ACE41B"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La menace d’un dommage est imminente lorsqu’il existe une probabilité suffisante que survienne un tel dommage dans un avenir proche. Cette menace impose d’agir pour éviter la réalisation du dommage ou en limiter les effets.</w:t>
      </w:r>
    </w:p>
    <w:p w14:paraId="0AB7AC50"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En tant qu’exploitant, vous êtes tenu, en cas de dommage, d’informer le préfet et de prendre, à vos frais, les mesures de prévention ou de réparation appropriées. Vous devez réparer le dommage environnemental, exclusivement en nature, sous le contrôle du préfet, autorité compétente désignée par le législateur.</w:t>
      </w:r>
    </w:p>
    <w:p w14:paraId="435A3DFF" w14:textId="77777777" w:rsidR="00EE7B60" w:rsidRPr="00EE7B60" w:rsidRDefault="00EE7B60" w:rsidP="00EE7B60">
      <w:pPr>
        <w:pStyle w:val="Titre3"/>
        <w:shd w:val="clear" w:color="auto" w:fill="FFFFFF"/>
        <w:spacing w:before="120"/>
        <w:textAlignment w:val="baseline"/>
        <w:rPr>
          <w:rFonts w:ascii="Arial" w:hAnsi="Arial" w:cs="Arial"/>
          <w:color w:val="666666"/>
          <w:sz w:val="18"/>
          <w:szCs w:val="18"/>
        </w:rPr>
      </w:pPr>
      <w:r w:rsidRPr="00EE7B60">
        <w:rPr>
          <w:rFonts w:ascii="Arial" w:hAnsi="Arial" w:cs="Arial"/>
          <w:color w:val="666666"/>
          <w:sz w:val="18"/>
          <w:szCs w:val="18"/>
        </w:rPr>
        <w:lastRenderedPageBreak/>
        <w:t>Quels sont, précisément, les dommages environnementaux couverts par la responsabilité environnementale ?</w:t>
      </w:r>
    </w:p>
    <w:p w14:paraId="78093DAB" w14:textId="77777777" w:rsidR="00EE7B60" w:rsidRPr="00EE7B60" w:rsidRDefault="00EE7B60" w:rsidP="00EE7B60">
      <w:pPr>
        <w:pStyle w:val="NormalWeb"/>
        <w:shd w:val="clear" w:color="auto" w:fill="FFFFFF"/>
        <w:spacing w:before="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Les dommages environnementaux visés excluent les dommages à des tiers et recouvrent :</w:t>
      </w:r>
    </w:p>
    <w:p w14:paraId="158FC7C1"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les contaminations des sols qui engendrent un risque d’atteinte grave à la santé humaine ;</w:t>
      </w:r>
    </w:p>
    <w:p w14:paraId="47EEE9B1"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les dommages qui affectent gravement l’état écologique, chimique ou quantitatif ou le potentiel écologique des eaux</w:t>
      </w:r>
    </w:p>
    <w:p w14:paraId="3387F615"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les dommages causés aux espèces et habitats naturels protégés.</w:t>
      </w:r>
    </w:p>
    <w:p w14:paraId="01F841C0" w14:textId="77777777" w:rsidR="00EE7B60" w:rsidRPr="00EE7B60" w:rsidRDefault="00EE7B60" w:rsidP="00EE7B60">
      <w:pPr>
        <w:pStyle w:val="Titre3"/>
        <w:numPr>
          <w:ilvl w:val="0"/>
          <w:numId w:val="21"/>
        </w:numPr>
        <w:shd w:val="clear" w:color="auto" w:fill="FFFFFF"/>
        <w:spacing w:before="120" w:after="120"/>
        <w:textAlignment w:val="baseline"/>
        <w:rPr>
          <w:rFonts w:ascii="Arial" w:hAnsi="Arial" w:cs="Arial"/>
          <w:b/>
          <w:bCs/>
          <w:color w:val="666666"/>
          <w:sz w:val="20"/>
          <w:szCs w:val="20"/>
        </w:rPr>
      </w:pPr>
      <w:r w:rsidRPr="00EE7B60">
        <w:rPr>
          <w:rFonts w:ascii="Arial" w:hAnsi="Arial" w:cs="Arial"/>
          <w:b/>
          <w:bCs/>
          <w:color w:val="666666"/>
          <w:sz w:val="20"/>
          <w:szCs w:val="20"/>
        </w:rPr>
        <w:t>Est-ce que toutes les entreprises sont concernées par la responsabilité environnementale ?</w:t>
      </w:r>
    </w:p>
    <w:p w14:paraId="2BFF061E" w14:textId="77777777" w:rsidR="00EE7B60" w:rsidRPr="00EE7B60" w:rsidRDefault="00EE7B60" w:rsidP="00EE7B60">
      <w:pPr>
        <w:pStyle w:val="NormalWeb"/>
        <w:shd w:val="clear" w:color="auto" w:fill="FFFFFF"/>
        <w:spacing w:before="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Oui, toutes les entreprises, quelle que soit leur taille ou leur secteur d’activité, peuvent être concernées. Pour certaines activités professionnelles (installations classées pour la protection de l’environnement, exploitations agricoles, entreprises du bâtiment…), la responsabilité de l’exploitant sera engagée en l’absence même de toute faute ou négligence de sa part.</w:t>
      </w:r>
    </w:p>
    <w:p w14:paraId="719A7C8C" w14:textId="77777777" w:rsidR="00EE7B60" w:rsidRPr="00EE7B60" w:rsidRDefault="00EE7B60" w:rsidP="00EE7B60">
      <w:pPr>
        <w:pStyle w:val="Titre3"/>
        <w:numPr>
          <w:ilvl w:val="0"/>
          <w:numId w:val="21"/>
        </w:numPr>
        <w:shd w:val="clear" w:color="auto" w:fill="FFFFFF"/>
        <w:spacing w:before="120" w:after="120"/>
        <w:textAlignment w:val="baseline"/>
        <w:rPr>
          <w:rFonts w:ascii="Arial" w:hAnsi="Arial" w:cs="Arial"/>
          <w:b/>
          <w:bCs/>
          <w:color w:val="666666"/>
          <w:sz w:val="20"/>
          <w:szCs w:val="20"/>
        </w:rPr>
      </w:pPr>
      <w:r w:rsidRPr="00EE7B60">
        <w:rPr>
          <w:rFonts w:ascii="Arial" w:hAnsi="Arial" w:cs="Arial"/>
          <w:b/>
          <w:bCs/>
          <w:color w:val="666666"/>
          <w:sz w:val="20"/>
          <w:szCs w:val="20"/>
        </w:rPr>
        <w:t>Comment réparer les dommages environnementaux ?</w:t>
      </w:r>
    </w:p>
    <w:p w14:paraId="4EA8FAEC" w14:textId="77777777" w:rsidR="00EE7B60" w:rsidRPr="00EE7B60" w:rsidRDefault="00EE7B60" w:rsidP="00EE7B60">
      <w:pPr>
        <w:pStyle w:val="NormalWeb"/>
        <w:shd w:val="clear" w:color="auto" w:fill="FFFFFF"/>
        <w:spacing w:before="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La responsabilité environnementale suppose nécessairement une réparation en nature, par exemple procéder au rempoissonnement d’une rivière avec des espèces protégées, restaurer les berges ou introduire dans une autre rivière une autre espèce écologiquement comparable…</w:t>
      </w:r>
    </w:p>
    <w:p w14:paraId="43AF1783" w14:textId="77777777" w:rsidR="00EE7B60" w:rsidRPr="00EE7B60" w:rsidRDefault="00EE7B60" w:rsidP="00EE7B60">
      <w:pPr>
        <w:shd w:val="clear" w:color="auto" w:fill="FFFFFF"/>
        <w:spacing w:before="120"/>
        <w:jc w:val="left"/>
        <w:textAlignment w:val="baseline"/>
        <w:rPr>
          <w:rFonts w:cs="Arial"/>
          <w:color w:val="666666"/>
          <w:sz w:val="18"/>
          <w:szCs w:val="18"/>
        </w:rPr>
      </w:pPr>
      <w:r w:rsidRPr="00EE7B60">
        <w:rPr>
          <w:rFonts w:cs="Arial"/>
          <w:color w:val="666666"/>
          <w:sz w:val="18"/>
          <w:szCs w:val="18"/>
        </w:rPr>
        <w:t>Trois formes de réparation sont prévues par la loi :</w:t>
      </w:r>
    </w:p>
    <w:p w14:paraId="2F25C605"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la « réparation primaire » qui vise à remettre en l’état initial les ressources naturelles du site endommagé ;</w:t>
      </w:r>
    </w:p>
    <w:p w14:paraId="572A87F4"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la « réparation complémentaire » qui permet de fournir un niveau de ressource naturelle ou de service comparable à celui de l’état initial ;</w:t>
      </w:r>
    </w:p>
    <w:p w14:paraId="15AE8930" w14:textId="77777777" w:rsidR="00EE7B60" w:rsidRPr="00EE7B60" w:rsidRDefault="00EE7B60" w:rsidP="00EE7B60">
      <w:pPr>
        <w:numPr>
          <w:ilvl w:val="0"/>
          <w:numId w:val="18"/>
        </w:numPr>
        <w:shd w:val="clear" w:color="auto" w:fill="FFFFFF"/>
        <w:tabs>
          <w:tab w:val="clear" w:pos="360"/>
        </w:tabs>
        <w:ind w:left="142" w:hanging="142"/>
        <w:jc w:val="left"/>
        <w:textAlignment w:val="baseline"/>
        <w:rPr>
          <w:rFonts w:cs="Arial"/>
          <w:color w:val="666666"/>
          <w:sz w:val="18"/>
          <w:szCs w:val="18"/>
        </w:rPr>
      </w:pPr>
      <w:r w:rsidRPr="00EE7B60">
        <w:rPr>
          <w:rFonts w:cs="Arial"/>
          <w:color w:val="666666"/>
          <w:sz w:val="18"/>
          <w:szCs w:val="18"/>
        </w:rPr>
        <w:t>la « réparation compensatoire » qui doit réparer les pertes provisoires de ressources naturelles et de services en attendant le retour à l’état initial.</w:t>
      </w:r>
    </w:p>
    <w:p w14:paraId="63D1BF57"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Les réparations complémentaires et compensatoires ne s’appliquent qu’aux eaux et aux espèces et habitats naturels protégés.</w:t>
      </w:r>
    </w:p>
    <w:p w14:paraId="00A662B2" w14:textId="77777777" w:rsidR="00EE7B60" w:rsidRPr="00EE7B60" w:rsidRDefault="00EE7B60" w:rsidP="00EE7B60">
      <w:pPr>
        <w:pStyle w:val="Titre3"/>
        <w:numPr>
          <w:ilvl w:val="0"/>
          <w:numId w:val="21"/>
        </w:numPr>
        <w:shd w:val="clear" w:color="auto" w:fill="FFFFFF"/>
        <w:spacing w:before="120" w:after="120"/>
        <w:textAlignment w:val="baseline"/>
        <w:rPr>
          <w:rFonts w:ascii="Arial" w:hAnsi="Arial" w:cs="Arial"/>
          <w:b/>
          <w:bCs/>
          <w:color w:val="666666"/>
          <w:sz w:val="20"/>
          <w:szCs w:val="20"/>
        </w:rPr>
      </w:pPr>
      <w:r w:rsidRPr="00EE7B60">
        <w:rPr>
          <w:rFonts w:ascii="Arial" w:hAnsi="Arial" w:cs="Arial"/>
          <w:b/>
          <w:bCs/>
          <w:color w:val="666666"/>
          <w:sz w:val="20"/>
          <w:szCs w:val="20"/>
        </w:rPr>
        <w:t>Quelles sont les formules de garanties proposées par les assureurs ?</w:t>
      </w:r>
    </w:p>
    <w:p w14:paraId="0A250455"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Les garanties de type responsabilité civile ne couvrant pas la responsabilité environnementale, l’entreprise qui le souhaite doit souscrire un contrat spécifique ou demander une extension de garantie.</w:t>
      </w:r>
    </w:p>
    <w:p w14:paraId="4923F72A"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Un engagement de caution peut aussi être pris auprès d’un établissement de crédit ou d’une société d’assurances. Le mécanisme ne joue que lorsque l’entreprise cautionnée est défaillante et ne peut donc exécuter ses obligations à l’égard de ses créanciers.</w:t>
      </w:r>
    </w:p>
    <w:p w14:paraId="03CDD3C6" w14:textId="77777777" w:rsidR="00EE7B60" w:rsidRPr="00EE7B60" w:rsidRDefault="00EE7B60" w:rsidP="00EE7B60">
      <w:pPr>
        <w:pStyle w:val="NormalWeb"/>
        <w:shd w:val="clear" w:color="auto" w:fill="FFFFFF"/>
        <w:spacing w:before="120" w:beforeAutospacing="0" w:after="0" w:afterAutospacing="0"/>
        <w:jc w:val="left"/>
        <w:textAlignment w:val="baseline"/>
        <w:rPr>
          <w:rFonts w:ascii="Arial" w:hAnsi="Arial" w:cs="Arial"/>
          <w:color w:val="666666"/>
          <w:sz w:val="18"/>
          <w:szCs w:val="18"/>
        </w:rPr>
      </w:pPr>
      <w:r w:rsidRPr="00EE7B60">
        <w:rPr>
          <w:rFonts w:ascii="Arial" w:hAnsi="Arial" w:cs="Arial"/>
          <w:color w:val="666666"/>
          <w:sz w:val="18"/>
          <w:szCs w:val="18"/>
        </w:rPr>
        <w:t xml:space="preserve">Contrairement aux cautions, les garanties d’assurances responsabilité environnementale jouent </w:t>
      </w:r>
      <w:proofErr w:type="spellStart"/>
      <w:r w:rsidRPr="00EE7B60">
        <w:rPr>
          <w:rFonts w:ascii="Arial" w:hAnsi="Arial" w:cs="Arial"/>
          <w:color w:val="666666"/>
          <w:sz w:val="18"/>
          <w:szCs w:val="18"/>
        </w:rPr>
        <w:t>indépendam-ment</w:t>
      </w:r>
      <w:proofErr w:type="spellEnd"/>
      <w:r w:rsidRPr="00EE7B60">
        <w:rPr>
          <w:rFonts w:ascii="Arial" w:hAnsi="Arial" w:cs="Arial"/>
          <w:color w:val="666666"/>
          <w:sz w:val="18"/>
          <w:szCs w:val="18"/>
        </w:rPr>
        <w:t xml:space="preserve"> de toute défaillance de l’entreprise : il suffit que l’atteinte à l’environnement due à l’activité de l’entreprise assurée survienne de façon accidentelle.</w:t>
      </w:r>
    </w:p>
    <w:p w14:paraId="0A421612"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La garantie responsabilité environnementale couvre les frais de prévention et de réparation des dommages environnementaux incombant à l’entreprise.</w:t>
      </w:r>
    </w:p>
    <w:p w14:paraId="24555A6D"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 xml:space="preserve">Suivant les contrats d’assurance, </w:t>
      </w:r>
      <w:proofErr w:type="gramStart"/>
      <w:r w:rsidRPr="00EE7B60">
        <w:rPr>
          <w:rFonts w:ascii="Arial" w:hAnsi="Arial" w:cs="Arial"/>
          <w:color w:val="666666"/>
          <w:sz w:val="18"/>
          <w:szCs w:val="18"/>
        </w:rPr>
        <w:t>certains frais correspondant</w:t>
      </w:r>
      <w:proofErr w:type="gramEnd"/>
      <w:r w:rsidRPr="00EE7B60">
        <w:rPr>
          <w:rFonts w:ascii="Arial" w:hAnsi="Arial" w:cs="Arial"/>
          <w:color w:val="666666"/>
          <w:sz w:val="18"/>
          <w:szCs w:val="18"/>
        </w:rPr>
        <w:t xml:space="preserve"> aux actions de prévention et/ou de réparation mises en œuvre, peuvent être couverts :</w:t>
      </w:r>
    </w:p>
    <w:p w14:paraId="797ACFAD"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 coût de l’évaluation des dommages</w:t>
      </w:r>
    </w:p>
    <w:p w14:paraId="777E1602"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les mesures de prévention et de réparation</w:t>
      </w:r>
    </w:p>
    <w:p w14:paraId="3B1F35CD"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les frais d’étude pour déterminer les actions de réparation</w:t>
      </w:r>
    </w:p>
    <w:p w14:paraId="375FC2AE"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les frais administratifs, judiciaires et les frais d’exécution</w:t>
      </w:r>
    </w:p>
    <w:p w14:paraId="6FBC5271"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les coûts de collecte des données</w:t>
      </w:r>
    </w:p>
    <w:p w14:paraId="26B3B2F6" w14:textId="77777777" w:rsidR="00EE7B60" w:rsidRPr="00EE7B60" w:rsidRDefault="00EE7B60" w:rsidP="00EE7B60">
      <w:pPr>
        <w:pStyle w:val="Titre3"/>
        <w:numPr>
          <w:ilvl w:val="0"/>
          <w:numId w:val="19"/>
        </w:numPr>
        <w:tabs>
          <w:tab w:val="num" w:pos="360"/>
        </w:tabs>
        <w:spacing w:before="0"/>
        <w:ind w:left="142" w:hanging="142"/>
        <w:rPr>
          <w:rFonts w:ascii="Arial" w:hAnsi="Arial" w:cs="Arial"/>
          <w:b/>
          <w:bCs/>
          <w:sz w:val="18"/>
          <w:szCs w:val="18"/>
        </w:rPr>
      </w:pPr>
      <w:r w:rsidRPr="00EE7B60">
        <w:rPr>
          <w:rFonts w:ascii="Arial" w:hAnsi="Arial" w:cs="Arial"/>
          <w:bCs/>
          <w:sz w:val="18"/>
          <w:szCs w:val="18"/>
        </w:rPr>
        <w:t>les frais généraux et les coûts de surveillance et de suivi, par exemple pour les travaux de remise en état…</w:t>
      </w:r>
    </w:p>
    <w:p w14:paraId="56E54F39" w14:textId="77777777" w:rsidR="00EE7B60" w:rsidRPr="00EE7B60" w:rsidRDefault="00EE7B60" w:rsidP="00EE7B60">
      <w:pPr>
        <w:pStyle w:val="Titre3"/>
        <w:numPr>
          <w:ilvl w:val="0"/>
          <w:numId w:val="21"/>
        </w:numPr>
        <w:shd w:val="clear" w:color="auto" w:fill="FFFFFF"/>
        <w:spacing w:before="120" w:after="120"/>
        <w:textAlignment w:val="baseline"/>
        <w:rPr>
          <w:rFonts w:ascii="Arial" w:hAnsi="Arial" w:cs="Arial"/>
          <w:b/>
          <w:bCs/>
          <w:color w:val="666666"/>
          <w:sz w:val="20"/>
          <w:szCs w:val="20"/>
        </w:rPr>
      </w:pPr>
      <w:r w:rsidRPr="00EE7B60">
        <w:rPr>
          <w:rFonts w:ascii="Arial" w:hAnsi="Arial" w:cs="Arial"/>
          <w:b/>
          <w:bCs/>
          <w:color w:val="666666"/>
          <w:sz w:val="20"/>
          <w:szCs w:val="20"/>
        </w:rPr>
        <w:t>Quelles sont les exclusions de garantie ?</w:t>
      </w:r>
    </w:p>
    <w:p w14:paraId="361D1EF7" w14:textId="77777777" w:rsidR="00EE7B60" w:rsidRPr="00EE7B60" w:rsidRDefault="00EE7B60" w:rsidP="00EE7B60">
      <w:pPr>
        <w:pStyle w:val="NormalWeb"/>
        <w:shd w:val="clear" w:color="auto" w:fill="FFFFFF"/>
        <w:spacing w:before="0" w:beforeAutospacing="0" w:after="120" w:afterAutospacing="0"/>
        <w:textAlignment w:val="baseline"/>
        <w:rPr>
          <w:rFonts w:ascii="Arial" w:hAnsi="Arial" w:cs="Arial"/>
          <w:color w:val="666666"/>
          <w:sz w:val="18"/>
          <w:szCs w:val="18"/>
        </w:rPr>
      </w:pPr>
      <w:r w:rsidRPr="00EE7B60">
        <w:rPr>
          <w:rFonts w:ascii="Arial" w:hAnsi="Arial" w:cs="Arial"/>
          <w:color w:val="666666"/>
          <w:sz w:val="18"/>
          <w:szCs w:val="18"/>
        </w:rPr>
        <w:t>Certains dommages ne sont pas garantis par le contrat. Il peut s’agir notamment d’exclusions de garantie imposées par la loi.</w:t>
      </w:r>
    </w:p>
    <w:p w14:paraId="1639BABB" w14:textId="77777777" w:rsidR="00EE7B60" w:rsidRPr="00EE7B60" w:rsidRDefault="00EE7B60" w:rsidP="00EE7B60">
      <w:pPr>
        <w:pStyle w:val="NormalWeb"/>
        <w:shd w:val="clear" w:color="auto" w:fill="FFFFFF"/>
        <w:spacing w:before="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Parmi les principales exclusions figurent la faute intentionnelle, l’inobservation des textes légaux, le mauvais état des installations, le risque développement (c’est-à-dire le risque de problèmes futurs indécelables au moment de l’événement à l’origine des dommages environnementaux), l’amiante, les champs électriques et électromagnétiques. Pour en savoir plus, reportez-vous à votre contrat ou contactez votre assureur.</w:t>
      </w:r>
    </w:p>
    <w:p w14:paraId="3FBD58F9" w14:textId="77777777" w:rsidR="00EE7B60" w:rsidRPr="00EE7B60" w:rsidRDefault="00EE7B60" w:rsidP="00EE7B60">
      <w:pPr>
        <w:pStyle w:val="Titre3"/>
        <w:numPr>
          <w:ilvl w:val="0"/>
          <w:numId w:val="21"/>
        </w:numPr>
        <w:shd w:val="clear" w:color="auto" w:fill="FFFFFF"/>
        <w:spacing w:before="120"/>
        <w:textAlignment w:val="baseline"/>
        <w:rPr>
          <w:rFonts w:ascii="Arial" w:hAnsi="Arial" w:cs="Arial"/>
          <w:b/>
          <w:bCs/>
          <w:color w:val="666666"/>
          <w:sz w:val="20"/>
          <w:szCs w:val="20"/>
        </w:rPr>
      </w:pPr>
      <w:r w:rsidRPr="00EE7B60">
        <w:rPr>
          <w:rFonts w:ascii="Arial" w:hAnsi="Arial" w:cs="Arial"/>
          <w:b/>
          <w:bCs/>
          <w:color w:val="666666"/>
          <w:sz w:val="20"/>
          <w:szCs w:val="20"/>
        </w:rPr>
        <w:t>Quelles démarches effectuer pour faire intervenir l’assurance ?</w:t>
      </w:r>
    </w:p>
    <w:p w14:paraId="5E0B1568" w14:textId="77777777" w:rsidR="00EE7B60" w:rsidRPr="00EE7B60" w:rsidRDefault="00EE7B60" w:rsidP="00EE7B60">
      <w:pPr>
        <w:pStyle w:val="NormalWeb"/>
        <w:shd w:val="clear" w:color="auto" w:fill="FFFFFF"/>
        <w:spacing w:before="120" w:beforeAutospacing="0" w:after="0" w:afterAutospacing="0"/>
        <w:textAlignment w:val="baseline"/>
        <w:rPr>
          <w:rFonts w:ascii="Arial" w:hAnsi="Arial" w:cs="Arial"/>
          <w:color w:val="666666"/>
          <w:sz w:val="18"/>
          <w:szCs w:val="18"/>
        </w:rPr>
      </w:pPr>
      <w:r w:rsidRPr="00EE7B60">
        <w:rPr>
          <w:rFonts w:ascii="Arial" w:hAnsi="Arial" w:cs="Arial"/>
          <w:color w:val="666666"/>
          <w:sz w:val="18"/>
          <w:szCs w:val="18"/>
        </w:rPr>
        <w:t xml:space="preserve">Il est important de déclarer le plus rapidement possible à votre assureur les événements susceptibles de mettre en jeu votre contrat d’assurance, dès que vous en avez connaissance. Parallèlement, vous devez prendre les mesures d’urgence qui s’imposent pour limiter les conséquences des dommages à l’environnement. Votre assureur désignera un expert pour constater, décrire, évaluer et déterminer la cause du sinistre. L’assureur vous accompagnera dans la gestion de votre sinistre et dans vos discussions avec le </w:t>
      </w:r>
      <w:proofErr w:type="gramStart"/>
      <w:r w:rsidRPr="00EE7B60">
        <w:rPr>
          <w:rFonts w:ascii="Arial" w:hAnsi="Arial" w:cs="Arial"/>
          <w:color w:val="666666"/>
          <w:sz w:val="18"/>
          <w:szCs w:val="18"/>
        </w:rPr>
        <w:t>Préfet</w:t>
      </w:r>
      <w:proofErr w:type="gramEnd"/>
      <w:r w:rsidRPr="00EE7B60">
        <w:rPr>
          <w:rFonts w:ascii="Arial" w:hAnsi="Arial" w:cs="Arial"/>
          <w:color w:val="666666"/>
          <w:sz w:val="18"/>
          <w:szCs w:val="18"/>
        </w:rPr>
        <w:t>, selon les dispositions de votre contrat.</w:t>
      </w:r>
    </w:p>
    <w:p w14:paraId="6A412586" w14:textId="77777777" w:rsidR="00EE7B60" w:rsidRPr="00EE7B60" w:rsidRDefault="00EE7B60" w:rsidP="00EE7B60">
      <w:pPr>
        <w:pStyle w:val="Titre4"/>
        <w:shd w:val="clear" w:color="auto" w:fill="E2EFD9" w:themeFill="accent6" w:themeFillTint="33"/>
        <w:spacing w:before="120"/>
        <w:textAlignment w:val="baseline"/>
        <w:rPr>
          <w:rFonts w:ascii="Arial" w:hAnsi="Arial" w:cs="Arial"/>
          <w:b/>
          <w:bCs/>
          <w:color w:val="666666"/>
          <w:sz w:val="18"/>
          <w:szCs w:val="18"/>
        </w:rPr>
      </w:pPr>
      <w:r w:rsidRPr="00EE7B60">
        <w:rPr>
          <w:rFonts w:ascii="Arial" w:hAnsi="Arial" w:cs="Arial"/>
          <w:color w:val="666666"/>
          <w:sz w:val="18"/>
          <w:szCs w:val="18"/>
        </w:rPr>
        <w:t xml:space="preserve">Identifier, évaluer et prévenir les risques de dommages environnementaux : </w:t>
      </w:r>
      <w:r w:rsidRPr="00EE7B60">
        <w:rPr>
          <w:rFonts w:ascii="Arial" w:hAnsi="Arial" w:cs="Arial"/>
          <w:bCs/>
          <w:color w:val="666666"/>
          <w:sz w:val="18"/>
          <w:szCs w:val="18"/>
        </w:rPr>
        <w:t>L’assureur peut formuler des recommandations pour aider les entreprises à mieux cerner et prévenir les risques de dommages environnementaux liés à leur activité. Il pourra ainsi vous accompagner dans la définition de votre politique de prévention en matière de responsabilité environnementale.</w:t>
      </w:r>
    </w:p>
    <w:p w14:paraId="6049715A" w14:textId="77777777" w:rsidR="00EE7B60" w:rsidRPr="00EE7B60" w:rsidRDefault="00EE7B60" w:rsidP="00EE7B60">
      <w:pPr>
        <w:rPr>
          <w:rFonts w:cs="Arial"/>
          <w:b/>
          <w:noProof/>
          <w:sz w:val="16"/>
          <w:szCs w:val="16"/>
        </w:rPr>
      </w:pPr>
    </w:p>
    <w:p w14:paraId="0AE7F1F6" w14:textId="77777777" w:rsidR="00C414EE" w:rsidRDefault="00C414EE" w:rsidP="00EE7B60">
      <w:pPr>
        <w:rPr>
          <w:rFonts w:cs="Arial"/>
          <w:sz w:val="20"/>
          <w:szCs w:val="20"/>
        </w:rPr>
      </w:pPr>
    </w:p>
    <w:p w14:paraId="7256456B" w14:textId="77777777" w:rsidR="00605743" w:rsidRDefault="00605743" w:rsidP="00EE7B60">
      <w:pPr>
        <w:rPr>
          <w:rFonts w:cs="Arial"/>
          <w:sz w:val="20"/>
          <w:szCs w:val="20"/>
        </w:rPr>
      </w:pPr>
    </w:p>
    <w:p w14:paraId="35967CF7" w14:textId="77777777" w:rsidR="00605743" w:rsidRDefault="00605743" w:rsidP="00EE7B60">
      <w:pPr>
        <w:rPr>
          <w:rFonts w:cs="Arial"/>
          <w:sz w:val="20"/>
          <w:szCs w:val="20"/>
        </w:rPr>
      </w:pPr>
    </w:p>
    <w:p w14:paraId="0FCD853D" w14:textId="77777777" w:rsidR="00605743" w:rsidRDefault="00605743" w:rsidP="00EE7B60">
      <w:pPr>
        <w:rPr>
          <w:rFonts w:cs="Arial"/>
          <w:sz w:val="20"/>
          <w:szCs w:val="20"/>
        </w:rPr>
      </w:pPr>
    </w:p>
    <w:p w14:paraId="0D679415" w14:textId="77777777" w:rsidR="00605743" w:rsidRDefault="00605743" w:rsidP="00EE7B60">
      <w:pPr>
        <w:rPr>
          <w:rFonts w:cs="Arial"/>
          <w:sz w:val="20"/>
          <w:szCs w:val="20"/>
        </w:rPr>
      </w:pPr>
    </w:p>
    <w:p w14:paraId="344F6A1A" w14:textId="77777777" w:rsidR="00605743" w:rsidRDefault="00605743" w:rsidP="00EE7B60">
      <w:pPr>
        <w:rPr>
          <w:rFonts w:cs="Arial"/>
          <w:sz w:val="20"/>
          <w:szCs w:val="20"/>
        </w:rPr>
      </w:pPr>
    </w:p>
    <w:p w14:paraId="297AE069" w14:textId="3AA51C30" w:rsidR="00605743" w:rsidRPr="00EE7B60" w:rsidRDefault="00605743" w:rsidP="00605743">
      <w:pPr>
        <w:spacing w:before="240"/>
        <w:rPr>
          <w:rFonts w:cs="Arial"/>
          <w:b/>
          <w:sz w:val="20"/>
          <w:szCs w:val="20"/>
          <w:lang w:eastAsia="fr-FR"/>
        </w:rPr>
      </w:pPr>
      <w:r>
        <w:rPr>
          <w:rFonts w:cs="Arial"/>
          <w:b/>
          <w:sz w:val="20"/>
          <w:szCs w:val="20"/>
          <w:lang w:eastAsia="fr-FR"/>
        </w:rPr>
        <w:t>Réponses</w:t>
      </w:r>
    </w:p>
    <w:p w14:paraId="0A8CEF79" w14:textId="6E528C1F" w:rsidR="00605743" w:rsidRDefault="00605743" w:rsidP="00605743">
      <w:pPr>
        <w:pStyle w:val="Paragraphedeliste"/>
        <w:numPr>
          <w:ilvl w:val="0"/>
          <w:numId w:val="22"/>
        </w:numPr>
        <w:spacing w:before="120"/>
        <w:rPr>
          <w:rFonts w:cs="Arial"/>
          <w:sz w:val="20"/>
          <w:szCs w:val="20"/>
          <w:lang w:eastAsia="fr-FR"/>
        </w:rPr>
      </w:pPr>
      <w:r w:rsidRPr="00605743">
        <w:rPr>
          <w:rFonts w:cs="Arial"/>
          <w:sz w:val="20"/>
          <w:szCs w:val="20"/>
          <w:lang w:eastAsia="fr-FR"/>
        </w:rPr>
        <w:t xml:space="preserve">Présentez dans une note </w:t>
      </w:r>
      <w:proofErr w:type="gramStart"/>
      <w:r w:rsidR="003817FA">
        <w:rPr>
          <w:rFonts w:cs="Arial"/>
          <w:sz w:val="20"/>
          <w:szCs w:val="20"/>
          <w:lang w:eastAsia="fr-FR"/>
        </w:rPr>
        <w:t xml:space="preserve">les </w:t>
      </w:r>
      <w:r w:rsidRPr="00605743">
        <w:rPr>
          <w:rFonts w:cs="Arial"/>
          <w:sz w:val="20"/>
          <w:szCs w:val="20"/>
          <w:lang w:eastAsia="fr-FR"/>
        </w:rPr>
        <w:t>modalité</w:t>
      </w:r>
      <w:proofErr w:type="gramEnd"/>
      <w:r w:rsidRPr="00605743">
        <w:rPr>
          <w:rFonts w:cs="Arial"/>
          <w:sz w:val="20"/>
          <w:szCs w:val="20"/>
          <w:lang w:eastAsia="fr-FR"/>
        </w:rPr>
        <w:t xml:space="preserve"> d’indemnisation en cas de catastrophe</w:t>
      </w:r>
      <w:r w:rsidR="003817FA">
        <w:rPr>
          <w:rFonts w:cs="Arial"/>
          <w:sz w:val="20"/>
          <w:szCs w:val="20"/>
          <w:lang w:eastAsia="fr-FR"/>
        </w:rPr>
        <w:t>s</w:t>
      </w:r>
      <w:r w:rsidRPr="00605743">
        <w:rPr>
          <w:rFonts w:cs="Arial"/>
          <w:sz w:val="20"/>
          <w:szCs w:val="20"/>
          <w:lang w:eastAsia="fr-FR"/>
        </w:rPr>
        <w:t xml:space="preserve"> naturelle</w:t>
      </w:r>
      <w:r w:rsidR="003817FA">
        <w:rPr>
          <w:rFonts w:cs="Arial"/>
          <w:sz w:val="20"/>
          <w:szCs w:val="20"/>
          <w:lang w:eastAsia="fr-FR"/>
        </w:rPr>
        <w:t>s</w:t>
      </w:r>
      <w:r w:rsidRPr="00605743">
        <w:rPr>
          <w:rFonts w:cs="Arial"/>
          <w:sz w:val="20"/>
          <w:szCs w:val="20"/>
          <w:lang w:eastAsia="fr-FR"/>
        </w:rPr>
        <w:t xml:space="preserve"> (</w:t>
      </w:r>
      <w:r w:rsidRPr="00605743">
        <w:rPr>
          <w:rFonts w:cs="Arial"/>
          <w:b/>
          <w:bCs/>
          <w:sz w:val="20"/>
          <w:szCs w:val="20"/>
          <w:lang w:eastAsia="fr-FR"/>
        </w:rPr>
        <w:t xml:space="preserve">document 1 </w:t>
      </w:r>
      <w:r w:rsidRPr="00605743">
        <w:rPr>
          <w:rFonts w:cs="Arial"/>
          <w:sz w:val="20"/>
          <w:szCs w:val="20"/>
          <w:lang w:eastAsia="fr-FR"/>
        </w:rPr>
        <w:t xml:space="preserve">et </w:t>
      </w:r>
      <w:r w:rsidRPr="00605743">
        <w:rPr>
          <w:rFonts w:cs="Arial"/>
          <w:b/>
          <w:bCs/>
          <w:sz w:val="20"/>
          <w:szCs w:val="20"/>
          <w:lang w:eastAsia="fr-FR"/>
        </w:rPr>
        <w:t>2</w:t>
      </w:r>
      <w:r w:rsidRPr="00605743">
        <w:rPr>
          <w:rFonts w:cs="Arial"/>
          <w:sz w:val="20"/>
          <w:szCs w:val="20"/>
          <w:lang w:eastAsia="fr-FR"/>
        </w:rPr>
        <w:t>).</w:t>
      </w:r>
    </w:p>
    <w:p w14:paraId="0B7F2236" w14:textId="77777777" w:rsidR="00605743" w:rsidRDefault="00605743" w:rsidP="00605743">
      <w:pPr>
        <w:spacing w:before="120"/>
        <w:rPr>
          <w:rFonts w:cs="Arial"/>
          <w:sz w:val="20"/>
          <w:szCs w:val="20"/>
          <w:lang w:eastAsia="fr-FR"/>
        </w:rPr>
      </w:pPr>
    </w:p>
    <w:p w14:paraId="0FF03DE7" w14:textId="77777777" w:rsidR="00605743" w:rsidRDefault="00605743" w:rsidP="00605743">
      <w:pPr>
        <w:spacing w:before="120"/>
        <w:rPr>
          <w:rFonts w:cs="Arial"/>
          <w:sz w:val="20"/>
          <w:szCs w:val="20"/>
          <w:lang w:eastAsia="fr-FR"/>
        </w:rPr>
      </w:pPr>
    </w:p>
    <w:p w14:paraId="6603BA77" w14:textId="77777777" w:rsidR="00605743" w:rsidRDefault="00605743" w:rsidP="00605743">
      <w:pPr>
        <w:spacing w:before="120"/>
        <w:rPr>
          <w:rFonts w:cs="Arial"/>
          <w:sz w:val="20"/>
          <w:szCs w:val="20"/>
          <w:lang w:eastAsia="fr-FR"/>
        </w:rPr>
      </w:pPr>
    </w:p>
    <w:p w14:paraId="23095A3B" w14:textId="77777777" w:rsidR="00605743" w:rsidRDefault="00605743" w:rsidP="00605743">
      <w:pPr>
        <w:spacing w:before="120"/>
        <w:rPr>
          <w:rFonts w:cs="Arial"/>
          <w:sz w:val="20"/>
          <w:szCs w:val="20"/>
          <w:lang w:eastAsia="fr-FR"/>
        </w:rPr>
      </w:pPr>
    </w:p>
    <w:p w14:paraId="355C7BE7" w14:textId="77777777" w:rsidR="00605743" w:rsidRPr="00605743" w:rsidRDefault="00605743" w:rsidP="00605743">
      <w:pPr>
        <w:spacing w:before="120"/>
        <w:rPr>
          <w:rFonts w:cs="Arial"/>
          <w:sz w:val="20"/>
          <w:szCs w:val="20"/>
          <w:lang w:eastAsia="fr-FR"/>
        </w:rPr>
      </w:pPr>
    </w:p>
    <w:p w14:paraId="19B24B8F" w14:textId="66F971BB" w:rsidR="00605743" w:rsidRPr="00605743" w:rsidRDefault="00605743" w:rsidP="00605743">
      <w:pPr>
        <w:pStyle w:val="Paragraphedeliste"/>
        <w:numPr>
          <w:ilvl w:val="0"/>
          <w:numId w:val="22"/>
        </w:numPr>
        <w:spacing w:before="120"/>
        <w:rPr>
          <w:rFonts w:cs="Arial"/>
          <w:sz w:val="20"/>
          <w:szCs w:val="20"/>
          <w:lang w:eastAsia="fr-FR"/>
        </w:rPr>
      </w:pPr>
      <w:r w:rsidRPr="00605743">
        <w:rPr>
          <w:rFonts w:cs="Arial"/>
          <w:sz w:val="20"/>
          <w:szCs w:val="20"/>
          <w:lang w:eastAsia="fr-FR"/>
        </w:rPr>
        <w:t>Étudiez les conséquences pour l’entreprise d’une pollution accidentelle et faites part de vos conclusions en ce qui concerne la gravière (</w:t>
      </w:r>
      <w:r w:rsidRPr="00605743">
        <w:rPr>
          <w:rFonts w:cs="Arial"/>
          <w:b/>
          <w:bCs/>
          <w:sz w:val="20"/>
          <w:szCs w:val="20"/>
          <w:lang w:eastAsia="fr-FR"/>
        </w:rPr>
        <w:t>document 3</w:t>
      </w:r>
      <w:r w:rsidRPr="00605743">
        <w:rPr>
          <w:rFonts w:cs="Arial"/>
          <w:sz w:val="20"/>
          <w:szCs w:val="20"/>
          <w:lang w:eastAsia="fr-FR"/>
        </w:rPr>
        <w:t>).</w:t>
      </w:r>
    </w:p>
    <w:p w14:paraId="361D9F73" w14:textId="77777777" w:rsidR="00605743" w:rsidRPr="00EE7B60" w:rsidRDefault="00605743" w:rsidP="00EE7B60">
      <w:pPr>
        <w:rPr>
          <w:rFonts w:cs="Arial"/>
          <w:sz w:val="20"/>
          <w:szCs w:val="20"/>
        </w:rPr>
      </w:pPr>
    </w:p>
    <w:sectPr w:rsidR="00605743" w:rsidRPr="00EE7B60" w:rsidSect="00A2143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A6E"/>
    <w:multiLevelType w:val="hybridMultilevel"/>
    <w:tmpl w:val="ABCC4E54"/>
    <w:lvl w:ilvl="0" w:tplc="5BBE2042">
      <w:start w:val="1"/>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731058"/>
    <w:multiLevelType w:val="hybridMultilevel"/>
    <w:tmpl w:val="56B0F9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D95127"/>
    <w:multiLevelType w:val="hybridMultilevel"/>
    <w:tmpl w:val="3380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281FA9"/>
    <w:multiLevelType w:val="hybridMultilevel"/>
    <w:tmpl w:val="47028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4F6D81"/>
    <w:multiLevelType w:val="hybridMultilevel"/>
    <w:tmpl w:val="75D610F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A745961"/>
    <w:multiLevelType w:val="hybridMultilevel"/>
    <w:tmpl w:val="2AF68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AC5B4E"/>
    <w:multiLevelType w:val="hybridMultilevel"/>
    <w:tmpl w:val="3066422C"/>
    <w:lvl w:ilvl="0" w:tplc="7BDE537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367687"/>
    <w:multiLevelType w:val="hybridMultilevel"/>
    <w:tmpl w:val="78CC9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2300EE7"/>
    <w:multiLevelType w:val="hybridMultilevel"/>
    <w:tmpl w:val="EC94AF8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4054F4F"/>
    <w:multiLevelType w:val="hybridMultilevel"/>
    <w:tmpl w:val="84648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CD6874"/>
    <w:multiLevelType w:val="hybridMultilevel"/>
    <w:tmpl w:val="812020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4FF365B"/>
    <w:multiLevelType w:val="hybridMultilevel"/>
    <w:tmpl w:val="1DE0825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5E80FF1"/>
    <w:multiLevelType w:val="multilevel"/>
    <w:tmpl w:val="91304546"/>
    <w:lvl w:ilvl="0">
      <w:start w:val="1"/>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B4F6026"/>
    <w:multiLevelType w:val="multilevel"/>
    <w:tmpl w:val="D474F2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2113EE"/>
    <w:multiLevelType w:val="hybridMultilevel"/>
    <w:tmpl w:val="AAD0805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9346FEC"/>
    <w:multiLevelType w:val="hybridMultilevel"/>
    <w:tmpl w:val="0B1C9E10"/>
    <w:lvl w:ilvl="0" w:tplc="41B889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DCC13C4"/>
    <w:multiLevelType w:val="hybridMultilevel"/>
    <w:tmpl w:val="1460F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1D0939"/>
    <w:multiLevelType w:val="hybridMultilevel"/>
    <w:tmpl w:val="232EFE38"/>
    <w:lvl w:ilvl="0" w:tplc="A2203E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B364AB8"/>
    <w:multiLevelType w:val="multilevel"/>
    <w:tmpl w:val="E0D6F0FA"/>
    <w:lvl w:ilvl="0">
      <w:start w:val="1"/>
      <w:numFmt w:val="bullet"/>
      <w:lvlText w:val="-"/>
      <w:lvlJc w:val="left"/>
      <w:pPr>
        <w:tabs>
          <w:tab w:val="num" w:pos="360"/>
        </w:tabs>
        <w:ind w:left="360" w:hanging="360"/>
      </w:pPr>
      <w:rPr>
        <w:rFonts w:ascii="Arial" w:eastAsia="Calibri"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BC6FAF"/>
    <w:multiLevelType w:val="hybridMultilevel"/>
    <w:tmpl w:val="D2E64D1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07659497">
    <w:abstractNumId w:val="16"/>
  </w:num>
  <w:num w:numId="2" w16cid:durableId="612980059">
    <w:abstractNumId w:val="3"/>
  </w:num>
  <w:num w:numId="3" w16cid:durableId="563755862">
    <w:abstractNumId w:val="9"/>
  </w:num>
  <w:num w:numId="4" w16cid:durableId="607546573">
    <w:abstractNumId w:val="4"/>
  </w:num>
  <w:num w:numId="5" w16cid:durableId="567689642">
    <w:abstractNumId w:val="21"/>
  </w:num>
  <w:num w:numId="6" w16cid:durableId="39398607">
    <w:abstractNumId w:val="12"/>
  </w:num>
  <w:num w:numId="7" w16cid:durableId="2002660770">
    <w:abstractNumId w:val="2"/>
  </w:num>
  <w:num w:numId="8" w16cid:durableId="1619338206">
    <w:abstractNumId w:val="6"/>
  </w:num>
  <w:num w:numId="9" w16cid:durableId="1780443815">
    <w:abstractNumId w:val="5"/>
  </w:num>
  <w:num w:numId="10" w16cid:durableId="688802759">
    <w:abstractNumId w:val="18"/>
  </w:num>
  <w:num w:numId="11" w16cid:durableId="2071803419">
    <w:abstractNumId w:val="10"/>
  </w:num>
  <w:num w:numId="12" w16cid:durableId="225917084">
    <w:abstractNumId w:val="17"/>
  </w:num>
  <w:num w:numId="13" w16cid:durableId="767502720">
    <w:abstractNumId w:val="15"/>
  </w:num>
  <w:num w:numId="14" w16cid:durableId="1751999246">
    <w:abstractNumId w:val="7"/>
  </w:num>
  <w:num w:numId="15" w16cid:durableId="495724777">
    <w:abstractNumId w:val="19"/>
  </w:num>
  <w:num w:numId="16" w16cid:durableId="2077166563">
    <w:abstractNumId w:val="14"/>
  </w:num>
  <w:num w:numId="17" w16cid:durableId="1219587001">
    <w:abstractNumId w:val="20"/>
  </w:num>
  <w:num w:numId="18" w16cid:durableId="955405325">
    <w:abstractNumId w:val="13"/>
  </w:num>
  <w:num w:numId="19" w16cid:durableId="139421668">
    <w:abstractNumId w:val="0"/>
  </w:num>
  <w:num w:numId="20" w16cid:durableId="170721300">
    <w:abstractNumId w:val="11"/>
  </w:num>
  <w:num w:numId="21" w16cid:durableId="449976304">
    <w:abstractNumId w:val="1"/>
  </w:num>
  <w:num w:numId="22" w16cid:durableId="1668053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EA"/>
    <w:rsid w:val="00204BE7"/>
    <w:rsid w:val="00210CA9"/>
    <w:rsid w:val="002A4617"/>
    <w:rsid w:val="002F35C4"/>
    <w:rsid w:val="003817FA"/>
    <w:rsid w:val="003F39EA"/>
    <w:rsid w:val="00433F11"/>
    <w:rsid w:val="00605743"/>
    <w:rsid w:val="00747C57"/>
    <w:rsid w:val="008B0AB2"/>
    <w:rsid w:val="00A2143D"/>
    <w:rsid w:val="00A93A26"/>
    <w:rsid w:val="00AF1101"/>
    <w:rsid w:val="00B3635C"/>
    <w:rsid w:val="00C12E61"/>
    <w:rsid w:val="00C414EE"/>
    <w:rsid w:val="00C752A8"/>
    <w:rsid w:val="00D0565F"/>
    <w:rsid w:val="00DD5B98"/>
    <w:rsid w:val="00E7082C"/>
    <w:rsid w:val="00E825EA"/>
    <w:rsid w:val="00EE7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DFB1"/>
  <w15:chartTrackingRefBased/>
  <w15:docId w15:val="{133443C3-51F2-4F37-83B1-F88DD8BF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EA"/>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3F39EA"/>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3F39EA"/>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214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E7B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9EA"/>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3F39EA"/>
    <w:rPr>
      <w:rFonts w:ascii="Arial" w:eastAsia="Times New Roman" w:hAnsi="Arial" w:cs="Arial"/>
      <w:b/>
      <w:color w:val="000000"/>
      <w:sz w:val="28"/>
      <w:szCs w:val="20"/>
      <w:lang w:eastAsia="fr-FR"/>
    </w:rPr>
  </w:style>
  <w:style w:type="table" w:styleId="Grilledutableau">
    <w:name w:val="Table Grid"/>
    <w:basedOn w:val="TableauNormal"/>
    <w:uiPriority w:val="59"/>
    <w:rsid w:val="003F39E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39EA"/>
    <w:pPr>
      <w:ind w:left="720"/>
      <w:contextualSpacing/>
    </w:pPr>
  </w:style>
  <w:style w:type="character" w:customStyle="1" w:styleId="Titre3Car">
    <w:name w:val="Titre 3 Car"/>
    <w:basedOn w:val="Policepardfaut"/>
    <w:link w:val="Titre3"/>
    <w:uiPriority w:val="9"/>
    <w:semiHidden/>
    <w:rsid w:val="00A2143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EE7B60"/>
    <w:rPr>
      <w:rFonts w:asciiTheme="majorHAnsi" w:eastAsiaTheme="majorEastAsia" w:hAnsiTheme="majorHAnsi" w:cstheme="majorBidi"/>
      <w:i/>
      <w:iCs/>
      <w:color w:val="2E74B5" w:themeColor="accent1" w:themeShade="BF"/>
    </w:rPr>
  </w:style>
  <w:style w:type="paragraph" w:styleId="NormalWeb">
    <w:name w:val="Normal (Web)"/>
    <w:basedOn w:val="Normal"/>
    <w:uiPriority w:val="99"/>
    <w:rsid w:val="00EE7B60"/>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EE7B60"/>
    <w:rPr>
      <w:b/>
      <w:bCs/>
    </w:rPr>
  </w:style>
  <w:style w:type="paragraph" w:customStyle="1" w:styleId="accroche">
    <w:name w:val="accroche"/>
    <w:basedOn w:val="Normal"/>
    <w:rsid w:val="00EE7B60"/>
    <w:pPr>
      <w:spacing w:before="100" w:beforeAutospacing="1" w:after="100" w:afterAutospacing="1"/>
      <w:jc w:val="left"/>
    </w:pPr>
    <w:rPr>
      <w:rFonts w:ascii="Times New Roman" w:eastAsia="Times New Roman" w:hAnsi="Times New Roman"/>
      <w:sz w:val="24"/>
      <w:szCs w:val="24"/>
      <w:lang w:eastAsia="fr-FR"/>
    </w:rPr>
  </w:style>
  <w:style w:type="paragraph" w:customStyle="1" w:styleId="text-align-justify">
    <w:name w:val="text-align-justify"/>
    <w:basedOn w:val="Normal"/>
    <w:rsid w:val="00EE7B60"/>
    <w:pPr>
      <w:spacing w:before="100" w:beforeAutospacing="1" w:after="100" w:afterAutospacing="1"/>
      <w:jc w:val="left"/>
    </w:pPr>
    <w:rPr>
      <w:rFonts w:ascii="Times New Roman" w:eastAsia="Times New Roman" w:hAnsi="Times New Roman"/>
      <w:sz w:val="24"/>
      <w:szCs w:val="24"/>
      <w:lang w:eastAsia="fr-FR"/>
    </w:rPr>
  </w:style>
  <w:style w:type="paragraph" w:customStyle="1" w:styleId="fr-callouttext">
    <w:name w:val="fr-callout__text"/>
    <w:basedOn w:val="Normal"/>
    <w:rsid w:val="00EE7B60"/>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1967</Words>
  <Characters>10820</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21</cp:revision>
  <dcterms:created xsi:type="dcterms:W3CDTF">2015-10-06T22:26:00Z</dcterms:created>
  <dcterms:modified xsi:type="dcterms:W3CDTF">2023-11-24T19:33:00Z</dcterms:modified>
</cp:coreProperties>
</file>