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6D2AE9" w:rsidRPr="006D2AE9" w14:paraId="4DB0D0A3" w14:textId="77777777" w:rsidTr="003B3F9A">
        <w:trPr>
          <w:trHeight w:val="386"/>
        </w:trPr>
        <w:tc>
          <w:tcPr>
            <w:tcW w:w="9918" w:type="dxa"/>
            <w:gridSpan w:val="3"/>
            <w:shd w:val="clear" w:color="auto" w:fill="FFFF00"/>
          </w:tcPr>
          <w:p w14:paraId="72875ABC" w14:textId="14DA481E" w:rsidR="006D2AE9" w:rsidRPr="006D2AE9" w:rsidRDefault="006D2AE9" w:rsidP="003B3F9A">
            <w:pPr>
              <w:pStyle w:val="Titre3"/>
              <w:spacing w:before="120" w:after="120"/>
              <w:jc w:val="center"/>
              <w:rPr>
                <w:rFonts w:ascii="Arial" w:hAnsi="Arial" w:cs="Arial"/>
                <w:b/>
                <w:bCs/>
                <w:color w:val="auto"/>
                <w:sz w:val="28"/>
                <w:szCs w:val="32"/>
              </w:rPr>
            </w:pPr>
            <w:r w:rsidRPr="006D2AE9">
              <w:rPr>
                <w:rFonts w:ascii="Arial" w:hAnsi="Arial" w:cs="Arial"/>
                <w:b/>
                <w:bCs/>
                <w:color w:val="auto"/>
                <w:sz w:val="28"/>
                <w:szCs w:val="32"/>
              </w:rPr>
              <w:t xml:space="preserve">Réflexion 5 – Mettre en œuvre un règlement </w:t>
            </w:r>
            <w:r w:rsidRPr="006D2AE9">
              <w:rPr>
                <w:rFonts w:ascii="Arial" w:hAnsi="Arial" w:cs="Arial"/>
                <w:b/>
                <w:bCs/>
                <w:color w:val="auto"/>
                <w:sz w:val="28"/>
                <w:szCs w:val="32"/>
              </w:rPr>
              <w:t>intérieur</w:t>
            </w:r>
          </w:p>
        </w:tc>
      </w:tr>
      <w:tr w:rsidR="006D2AE9" w:rsidRPr="00173A63" w14:paraId="039C7258" w14:textId="77777777" w:rsidTr="003B3F9A">
        <w:trPr>
          <w:trHeight w:val="267"/>
        </w:trPr>
        <w:tc>
          <w:tcPr>
            <w:tcW w:w="1413" w:type="dxa"/>
            <w:shd w:val="clear" w:color="auto" w:fill="FFFF00"/>
            <w:vAlign w:val="center"/>
          </w:tcPr>
          <w:p w14:paraId="1340DE40" w14:textId="77777777" w:rsidR="006D2AE9" w:rsidRPr="00173A63" w:rsidRDefault="006D2AE9" w:rsidP="003B3F9A">
            <w:pPr>
              <w:jc w:val="center"/>
              <w:rPr>
                <w:i/>
              </w:rPr>
            </w:pPr>
            <w:r w:rsidRPr="00FF0A24">
              <w:rPr>
                <w:b/>
              </w:rPr>
              <w:t>Durée</w:t>
            </w:r>
            <w:r>
              <w:t xml:space="preserve"> : 20’</w:t>
            </w:r>
          </w:p>
        </w:tc>
        <w:tc>
          <w:tcPr>
            <w:tcW w:w="7229" w:type="dxa"/>
            <w:shd w:val="clear" w:color="auto" w:fill="FFFF00"/>
            <w:vAlign w:val="center"/>
          </w:tcPr>
          <w:p w14:paraId="3A9AF958" w14:textId="77777777" w:rsidR="006D2AE9" w:rsidRPr="00173A63" w:rsidRDefault="006D2AE9" w:rsidP="003B3F9A">
            <w:pPr>
              <w:jc w:val="center"/>
              <w:rPr>
                <w:i/>
              </w:rPr>
            </w:pPr>
            <w:r>
              <w:rPr>
                <w:i/>
                <w:noProof/>
              </w:rPr>
              <w:drawing>
                <wp:inline distT="0" distB="0" distL="0" distR="0" wp14:anchorId="47C8C7B2" wp14:editId="7CA1D180">
                  <wp:extent cx="324000" cy="324000"/>
                  <wp:effectExtent l="0" t="0" r="0" b="0"/>
                  <wp:docPr id="2012372076" name="Graphique 201237207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66EF1388" wp14:editId="7CCD484E">
                  <wp:extent cx="360000" cy="360000"/>
                  <wp:effectExtent l="0" t="0" r="0" b="2540"/>
                  <wp:docPr id="1848804359" name="Graphique 18488043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665C725E" w14:textId="77777777" w:rsidR="006D2AE9" w:rsidRPr="006D456D" w:rsidRDefault="006D2AE9" w:rsidP="003B3F9A">
            <w:pPr>
              <w:jc w:val="center"/>
              <w:rPr>
                <w:b/>
                <w:bCs/>
                <w:iCs/>
              </w:rPr>
            </w:pPr>
            <w:r w:rsidRPr="006D456D">
              <w:rPr>
                <w:b/>
                <w:bCs/>
                <w:iCs/>
              </w:rPr>
              <w:t>Source</w:t>
            </w:r>
          </w:p>
        </w:tc>
      </w:tr>
    </w:tbl>
    <w:p w14:paraId="23DB468E" w14:textId="77777777" w:rsidR="006D2AE9" w:rsidRPr="00D22CEC" w:rsidRDefault="006D2AE9" w:rsidP="006D2AE9">
      <w:pPr>
        <w:spacing w:before="120"/>
        <w:rPr>
          <w:b/>
          <w:sz w:val="24"/>
          <w:szCs w:val="28"/>
        </w:rPr>
      </w:pPr>
      <w:r w:rsidRPr="00D22CEC">
        <w:rPr>
          <w:b/>
          <w:sz w:val="24"/>
          <w:szCs w:val="28"/>
        </w:rPr>
        <w:t xml:space="preserve">Travail à faire </w:t>
      </w:r>
    </w:p>
    <w:p w14:paraId="2E2E6BFC" w14:textId="77777777" w:rsidR="006D2AE9" w:rsidRPr="006D2AE9" w:rsidRDefault="006D2AE9" w:rsidP="006D2AE9">
      <w:pPr>
        <w:spacing w:before="60" w:after="60"/>
        <w:rPr>
          <w:rFonts w:cs="Arial"/>
          <w:bCs/>
          <w:sz w:val="20"/>
          <w:szCs w:val="22"/>
        </w:rPr>
      </w:pPr>
      <w:r w:rsidRPr="006D2AE9">
        <w:rPr>
          <w:rFonts w:cs="Arial"/>
          <w:bCs/>
          <w:sz w:val="20"/>
          <w:szCs w:val="22"/>
        </w:rPr>
        <w:t xml:space="preserve">Après avoir lu les </w:t>
      </w:r>
      <w:r w:rsidRPr="006D2AE9">
        <w:rPr>
          <w:rFonts w:cs="Arial"/>
          <w:b/>
          <w:sz w:val="20"/>
          <w:szCs w:val="22"/>
        </w:rPr>
        <w:t xml:space="preserve">documents 1 </w:t>
      </w:r>
      <w:r w:rsidRPr="006D2AE9">
        <w:rPr>
          <w:rFonts w:cs="Arial"/>
          <w:bCs/>
          <w:sz w:val="20"/>
          <w:szCs w:val="22"/>
        </w:rPr>
        <w:t xml:space="preserve">et </w:t>
      </w:r>
      <w:r w:rsidRPr="006D2AE9">
        <w:rPr>
          <w:rFonts w:cs="Arial"/>
          <w:b/>
          <w:sz w:val="20"/>
          <w:szCs w:val="22"/>
        </w:rPr>
        <w:t>2</w:t>
      </w:r>
      <w:r w:rsidRPr="006D2AE9">
        <w:rPr>
          <w:rFonts w:cs="Arial"/>
          <w:bCs/>
          <w:sz w:val="20"/>
          <w:szCs w:val="22"/>
        </w:rPr>
        <w:t xml:space="preserve">, répondez aux questions suivantes : </w:t>
      </w:r>
    </w:p>
    <w:p w14:paraId="45F17771" w14:textId="77777777" w:rsidR="006D2AE9" w:rsidRPr="006D2AE9" w:rsidRDefault="006D2AE9" w:rsidP="006D2AE9">
      <w:pPr>
        <w:pStyle w:val="Paragraphedeliste"/>
        <w:numPr>
          <w:ilvl w:val="0"/>
          <w:numId w:val="7"/>
        </w:numPr>
        <w:rPr>
          <w:rFonts w:cs="Arial"/>
          <w:bCs/>
          <w:sz w:val="20"/>
          <w:szCs w:val="22"/>
        </w:rPr>
      </w:pPr>
      <w:r w:rsidRPr="006D2AE9">
        <w:rPr>
          <w:rFonts w:cs="Arial"/>
          <w:bCs/>
          <w:sz w:val="20"/>
          <w:szCs w:val="22"/>
        </w:rPr>
        <w:t>Quelles sont les entreprises qui ont l’obligation d’avoir un règlement intérieur ?</w:t>
      </w:r>
    </w:p>
    <w:p w14:paraId="5B7FFC2C" w14:textId="77777777" w:rsidR="006D2AE9" w:rsidRPr="006D2AE9" w:rsidRDefault="006D2AE9" w:rsidP="006D2AE9">
      <w:pPr>
        <w:pStyle w:val="Paragraphedeliste"/>
        <w:numPr>
          <w:ilvl w:val="0"/>
          <w:numId w:val="7"/>
        </w:numPr>
        <w:rPr>
          <w:rFonts w:cs="Arial"/>
          <w:bCs/>
          <w:sz w:val="20"/>
          <w:szCs w:val="22"/>
        </w:rPr>
      </w:pPr>
      <w:r w:rsidRPr="006D2AE9">
        <w:rPr>
          <w:rFonts w:cs="Arial"/>
          <w:bCs/>
          <w:sz w:val="20"/>
          <w:szCs w:val="22"/>
        </w:rPr>
        <w:t>Quelle est la procédure à respecter lors de son élaboration ?</w:t>
      </w:r>
    </w:p>
    <w:p w14:paraId="57FA00D2" w14:textId="77777777" w:rsidR="006D2AE9" w:rsidRPr="006D2AE9" w:rsidRDefault="006D2AE9" w:rsidP="006D2AE9">
      <w:pPr>
        <w:pStyle w:val="Paragraphedeliste"/>
        <w:numPr>
          <w:ilvl w:val="0"/>
          <w:numId w:val="7"/>
        </w:numPr>
        <w:rPr>
          <w:rFonts w:cs="Arial"/>
          <w:bCs/>
          <w:sz w:val="20"/>
          <w:szCs w:val="22"/>
        </w:rPr>
      </w:pPr>
      <w:r w:rsidRPr="006D2AE9">
        <w:rPr>
          <w:rFonts w:cs="Arial"/>
          <w:bCs/>
          <w:sz w:val="20"/>
          <w:szCs w:val="22"/>
        </w:rPr>
        <w:t>Comment les salariés doivent-ils être informés</w:t>
      </w:r>
    </w:p>
    <w:p w14:paraId="2CFE5427" w14:textId="77777777" w:rsidR="006D2AE9" w:rsidRPr="006D2AE9" w:rsidRDefault="006D2AE9" w:rsidP="006D2AE9">
      <w:pPr>
        <w:pStyle w:val="Paragraphedeliste"/>
        <w:numPr>
          <w:ilvl w:val="0"/>
          <w:numId w:val="7"/>
        </w:numPr>
        <w:rPr>
          <w:rFonts w:cs="Arial"/>
          <w:bCs/>
          <w:sz w:val="20"/>
          <w:szCs w:val="22"/>
        </w:rPr>
      </w:pPr>
      <w:r w:rsidRPr="006D2AE9">
        <w:rPr>
          <w:rFonts w:cs="Arial"/>
          <w:bCs/>
          <w:sz w:val="20"/>
          <w:szCs w:val="22"/>
        </w:rPr>
        <w:t xml:space="preserve">Quelles sont les règles applicables en ce qui concerne les notes de services ? </w:t>
      </w:r>
    </w:p>
    <w:p w14:paraId="33EF2A2B" w14:textId="77777777" w:rsidR="006D2AE9" w:rsidRPr="006D2AE9" w:rsidRDefault="006D2AE9" w:rsidP="006D2AE9">
      <w:pPr>
        <w:pStyle w:val="Paragraphedeliste"/>
        <w:numPr>
          <w:ilvl w:val="0"/>
          <w:numId w:val="7"/>
        </w:numPr>
        <w:rPr>
          <w:rFonts w:cs="Arial"/>
          <w:bCs/>
          <w:sz w:val="20"/>
          <w:szCs w:val="22"/>
        </w:rPr>
      </w:pPr>
      <w:r w:rsidRPr="006D2AE9">
        <w:rPr>
          <w:rFonts w:cs="Arial"/>
          <w:bCs/>
          <w:sz w:val="20"/>
          <w:szCs w:val="22"/>
        </w:rPr>
        <w:t>Quelles sont les règles applicables aux notes de service qui rappellent les règles du RI ?</w:t>
      </w:r>
    </w:p>
    <w:p w14:paraId="793190D4" w14:textId="77777777" w:rsidR="006D2AE9" w:rsidRDefault="006D2AE9" w:rsidP="006D2AE9">
      <w:pPr>
        <w:rPr>
          <w:rStyle w:val="Lienhypertexte"/>
          <w:rFonts w:eastAsiaTheme="majorEastAsia"/>
        </w:rPr>
      </w:pPr>
    </w:p>
    <w:p w14:paraId="7D8E13B7" w14:textId="77777777" w:rsidR="006D2AE9" w:rsidRPr="00DE1405" w:rsidRDefault="006D2AE9" w:rsidP="006D2AE9">
      <w:pPr>
        <w:spacing w:before="120"/>
        <w:rPr>
          <w:b/>
          <w:bCs/>
          <w:sz w:val="24"/>
          <w:szCs w:val="32"/>
        </w:rPr>
      </w:pPr>
      <w:r w:rsidRPr="002B324C">
        <w:rPr>
          <w:b/>
          <w:color w:val="FFFFFF" w:themeColor="background1"/>
          <w:sz w:val="24"/>
          <w:highlight w:val="red"/>
        </w:rPr>
        <w:t>Doc.</w:t>
      </w:r>
      <w:r>
        <w:rPr>
          <w:b/>
          <w:color w:val="FFFFFF" w:themeColor="background1"/>
          <w:sz w:val="24"/>
          <w:highlight w:val="red"/>
        </w:rPr>
        <w:t xml:space="preserve"> 1</w:t>
      </w:r>
      <w:r w:rsidRPr="002B324C">
        <w:rPr>
          <w:b/>
          <w:color w:val="FFFFFF" w:themeColor="background1"/>
          <w:sz w:val="24"/>
          <w:highlight w:val="red"/>
        </w:rPr>
        <w:t> </w:t>
      </w:r>
      <w:r w:rsidRPr="002B324C">
        <w:rPr>
          <w:b/>
          <w:color w:val="FFFFFF" w:themeColor="background1"/>
          <w:sz w:val="24"/>
        </w:rPr>
        <w:t xml:space="preserve"> </w:t>
      </w:r>
      <w:r w:rsidRPr="008C2AA4">
        <w:rPr>
          <w:b/>
          <w:sz w:val="24"/>
          <w:szCs w:val="32"/>
        </w:rPr>
        <w:t xml:space="preserve"> </w:t>
      </w:r>
      <w:r>
        <w:rPr>
          <w:b/>
          <w:sz w:val="24"/>
          <w:szCs w:val="32"/>
        </w:rPr>
        <w:t>Quand et c</w:t>
      </w:r>
      <w:r>
        <w:rPr>
          <w:b/>
          <w:bCs/>
          <w:sz w:val="24"/>
          <w:szCs w:val="32"/>
        </w:rPr>
        <w:t>omment</w:t>
      </w:r>
      <w:r w:rsidRPr="00DE1405">
        <w:rPr>
          <w:b/>
          <w:bCs/>
          <w:sz w:val="24"/>
          <w:szCs w:val="32"/>
        </w:rPr>
        <w:t xml:space="preserve"> établir un règlement intérieur ?</w:t>
      </w:r>
    </w:p>
    <w:p w14:paraId="4E9759AD" w14:textId="77777777" w:rsidR="006D2AE9" w:rsidRPr="00DE1405" w:rsidRDefault="006D2AE9" w:rsidP="006D2AE9">
      <w:pPr>
        <w:pStyle w:val="NormalWeb"/>
        <w:shd w:val="clear" w:color="auto" w:fill="FFFFFF"/>
        <w:spacing w:before="120" w:beforeAutospacing="0" w:after="120" w:afterAutospacing="0"/>
        <w:rPr>
          <w:rFonts w:ascii="Arial" w:hAnsi="Arial" w:cs="Arial"/>
          <w:i/>
          <w:iCs/>
          <w:color w:val="333333"/>
          <w:sz w:val="18"/>
          <w:szCs w:val="18"/>
        </w:rPr>
      </w:pPr>
      <w:r w:rsidRPr="00DE1405">
        <w:rPr>
          <w:rFonts w:ascii="Arial" w:hAnsi="Arial" w:cs="Arial"/>
          <w:i/>
          <w:iCs/>
          <w:color w:val="333333"/>
          <w:sz w:val="18"/>
          <w:szCs w:val="18"/>
        </w:rPr>
        <w:t>Source : https://travail-emploi.gouv.fr/</w:t>
      </w:r>
    </w:p>
    <w:p w14:paraId="1F5827FA" w14:textId="77777777" w:rsidR="006D2AE9" w:rsidRDefault="006D2AE9" w:rsidP="006D2AE9">
      <w:pPr>
        <w:pStyle w:val="NormalWeb"/>
        <w:shd w:val="clear" w:color="auto" w:fill="FFFFFF"/>
        <w:spacing w:before="120" w:beforeAutospacing="0" w:after="60" w:afterAutospacing="0"/>
        <w:jc w:val="both"/>
        <w:rPr>
          <w:rFonts w:ascii="Arial" w:hAnsi="Arial" w:cs="Arial"/>
          <w:color w:val="333333"/>
          <w:sz w:val="20"/>
          <w:szCs w:val="20"/>
        </w:rPr>
      </w:pPr>
      <w:r w:rsidRPr="00DE1405">
        <w:rPr>
          <w:rFonts w:ascii="Arial" w:hAnsi="Arial" w:cs="Arial"/>
          <w:color w:val="333333"/>
          <w:sz w:val="20"/>
          <w:szCs w:val="20"/>
        </w:rPr>
        <w:t>Depuis le 1</w:t>
      </w:r>
      <w:r w:rsidRPr="00DE1405">
        <w:rPr>
          <w:rFonts w:ascii="Arial" w:hAnsi="Arial" w:cs="Arial"/>
          <w:color w:val="333333"/>
          <w:sz w:val="20"/>
          <w:szCs w:val="20"/>
          <w:vertAlign w:val="superscript"/>
        </w:rPr>
        <w:t>er</w:t>
      </w:r>
      <w:r w:rsidRPr="00DE1405">
        <w:rPr>
          <w:rFonts w:ascii="Arial" w:hAnsi="Arial" w:cs="Arial"/>
          <w:color w:val="333333"/>
          <w:sz w:val="20"/>
          <w:szCs w:val="20"/>
        </w:rPr>
        <w:t> janvier 2020, l’établissement d’un règlement intérieur est obligatoire dans les entreprises ou établissements employant au moins 50 salariés pendant douze mois consécutifs</w:t>
      </w:r>
      <w:r>
        <w:rPr>
          <w:rFonts w:ascii="Arial" w:hAnsi="Arial" w:cs="Arial"/>
          <w:color w:val="333333"/>
          <w:sz w:val="20"/>
          <w:szCs w:val="20"/>
        </w:rPr>
        <w:t xml:space="preserve"> […]. </w:t>
      </w:r>
    </w:p>
    <w:p w14:paraId="14026B67" w14:textId="77777777" w:rsidR="006D2AE9" w:rsidRPr="004C279D" w:rsidRDefault="006D2AE9" w:rsidP="006D2AE9">
      <w:pPr>
        <w:pStyle w:val="Titre3"/>
        <w:shd w:val="clear" w:color="auto" w:fill="FFFFFF"/>
        <w:spacing w:before="0" w:line="240" w:lineRule="atLeast"/>
        <w:jc w:val="both"/>
        <w:rPr>
          <w:rFonts w:ascii="Arial" w:hAnsi="Arial" w:cs="Arial"/>
          <w:color w:val="333333"/>
          <w:sz w:val="20"/>
          <w:szCs w:val="20"/>
        </w:rPr>
      </w:pPr>
      <w:r w:rsidRPr="004C279D">
        <w:rPr>
          <w:rFonts w:ascii="Arial" w:hAnsi="Arial" w:cs="Arial"/>
          <w:color w:val="333333"/>
          <w:sz w:val="20"/>
          <w:szCs w:val="20"/>
        </w:rPr>
        <w:t>Comment est établi le règlement intérieur ?</w:t>
      </w:r>
    </w:p>
    <w:p w14:paraId="3BDF1021" w14:textId="77777777" w:rsidR="006D2AE9" w:rsidRPr="00DE1405" w:rsidRDefault="006D2AE9" w:rsidP="006D2AE9">
      <w:pPr>
        <w:pStyle w:val="NormalWeb"/>
        <w:shd w:val="clear" w:color="auto" w:fill="FFFFFF"/>
        <w:spacing w:before="60" w:beforeAutospacing="0" w:after="0" w:afterAutospacing="0"/>
        <w:jc w:val="both"/>
        <w:rPr>
          <w:rFonts w:ascii="Arial" w:hAnsi="Arial" w:cs="Arial"/>
          <w:color w:val="333333"/>
          <w:sz w:val="20"/>
          <w:szCs w:val="20"/>
        </w:rPr>
      </w:pPr>
      <w:r w:rsidRPr="00DE1405">
        <w:rPr>
          <w:rFonts w:ascii="Arial" w:hAnsi="Arial" w:cs="Arial"/>
          <w:color w:val="333333"/>
          <w:sz w:val="20"/>
          <w:szCs w:val="20"/>
        </w:rPr>
        <w:t xml:space="preserve">Les entreprises ou établissements employant au moins 50 salariés doivent mettre en place un règlement intérieur. </w:t>
      </w:r>
      <w:r>
        <w:rPr>
          <w:rFonts w:ascii="Arial" w:hAnsi="Arial" w:cs="Arial"/>
          <w:color w:val="333333"/>
          <w:sz w:val="20"/>
          <w:szCs w:val="20"/>
        </w:rPr>
        <w:t>L</w:t>
      </w:r>
      <w:r w:rsidRPr="00DE1405">
        <w:rPr>
          <w:rFonts w:ascii="Arial" w:hAnsi="Arial" w:cs="Arial"/>
          <w:color w:val="333333"/>
          <w:sz w:val="20"/>
          <w:szCs w:val="20"/>
        </w:rPr>
        <w:t>es étapes :</w:t>
      </w:r>
    </w:p>
    <w:p w14:paraId="777AA74A" w14:textId="77777777" w:rsidR="006D2AE9" w:rsidRPr="00DE1405" w:rsidRDefault="006D2AE9" w:rsidP="006D2AE9">
      <w:pPr>
        <w:numPr>
          <w:ilvl w:val="0"/>
          <w:numId w:val="6"/>
        </w:numPr>
        <w:shd w:val="clear" w:color="auto" w:fill="FFFFFF"/>
        <w:tabs>
          <w:tab w:val="clear" w:pos="360"/>
        </w:tabs>
        <w:ind w:left="284" w:hanging="284"/>
        <w:jc w:val="both"/>
        <w:rPr>
          <w:rFonts w:cs="Arial"/>
          <w:color w:val="333333"/>
          <w:sz w:val="20"/>
          <w:szCs w:val="20"/>
        </w:rPr>
      </w:pPr>
      <w:r w:rsidRPr="00DE1405">
        <w:rPr>
          <w:rFonts w:cs="Arial"/>
          <w:color w:val="333333"/>
          <w:sz w:val="20"/>
          <w:szCs w:val="20"/>
        </w:rPr>
        <w:t>rédiger le projet de règlement (avec si nécessaire des dispositions spéciales pour une catégorie de personnel ou une division de l’entreprise ou de l’établissement) ;</w:t>
      </w:r>
    </w:p>
    <w:p w14:paraId="3770B1E7" w14:textId="77777777" w:rsidR="006D2AE9" w:rsidRPr="00DE1405" w:rsidRDefault="006D2AE9" w:rsidP="006D2AE9">
      <w:pPr>
        <w:numPr>
          <w:ilvl w:val="0"/>
          <w:numId w:val="6"/>
        </w:numPr>
        <w:shd w:val="clear" w:color="auto" w:fill="FFFFFF"/>
        <w:tabs>
          <w:tab w:val="clear" w:pos="360"/>
        </w:tabs>
        <w:ind w:left="284" w:hanging="284"/>
        <w:jc w:val="both"/>
        <w:rPr>
          <w:rFonts w:cs="Arial"/>
          <w:color w:val="333333"/>
          <w:sz w:val="20"/>
          <w:szCs w:val="20"/>
        </w:rPr>
      </w:pPr>
      <w:r w:rsidRPr="00DE1405">
        <w:rPr>
          <w:rFonts w:cs="Arial"/>
          <w:color w:val="333333"/>
          <w:sz w:val="20"/>
          <w:szCs w:val="20"/>
        </w:rPr>
        <w:t>soumettre le projet pour avis au </w:t>
      </w:r>
      <w:r w:rsidRPr="004C279D">
        <w:rPr>
          <w:rFonts w:cs="Arial"/>
          <w:color w:val="333333"/>
          <w:szCs w:val="20"/>
        </w:rPr>
        <w:t>comité social et économique</w:t>
      </w:r>
      <w:r w:rsidRPr="00DE1405">
        <w:rPr>
          <w:rFonts w:cs="Arial"/>
          <w:color w:val="333333"/>
          <w:sz w:val="20"/>
          <w:szCs w:val="20"/>
        </w:rPr>
        <w:t> ;</w:t>
      </w:r>
    </w:p>
    <w:p w14:paraId="7965B3AC" w14:textId="77777777" w:rsidR="006D2AE9" w:rsidRPr="00DE1405" w:rsidRDefault="006D2AE9" w:rsidP="006D2AE9">
      <w:pPr>
        <w:numPr>
          <w:ilvl w:val="0"/>
          <w:numId w:val="6"/>
        </w:numPr>
        <w:shd w:val="clear" w:color="auto" w:fill="FFFFFF"/>
        <w:tabs>
          <w:tab w:val="clear" w:pos="360"/>
        </w:tabs>
        <w:spacing w:after="120"/>
        <w:ind w:left="284" w:hanging="284"/>
        <w:jc w:val="both"/>
        <w:rPr>
          <w:rFonts w:cs="Arial"/>
          <w:color w:val="333333"/>
          <w:sz w:val="20"/>
          <w:szCs w:val="20"/>
        </w:rPr>
      </w:pPr>
      <w:r w:rsidRPr="00DE1405">
        <w:rPr>
          <w:rFonts w:cs="Arial"/>
          <w:color w:val="333333"/>
          <w:sz w:val="20"/>
          <w:szCs w:val="20"/>
        </w:rPr>
        <w:t xml:space="preserve">déposer le document au greffe du conseil de prud’hommes du ressort de l’entreprise </w:t>
      </w:r>
      <w:r>
        <w:rPr>
          <w:rFonts w:cs="Arial"/>
          <w:color w:val="333333"/>
          <w:sz w:val="20"/>
          <w:szCs w:val="20"/>
        </w:rPr>
        <w:t>[…]</w:t>
      </w:r>
      <w:r w:rsidRPr="00DE1405">
        <w:rPr>
          <w:rFonts w:cs="Arial"/>
          <w:color w:val="333333"/>
          <w:sz w:val="20"/>
          <w:szCs w:val="20"/>
        </w:rPr>
        <w:t>.</w:t>
      </w:r>
    </w:p>
    <w:p w14:paraId="4DAAB5A2" w14:textId="77777777" w:rsidR="006D2AE9" w:rsidRDefault="006D2AE9" w:rsidP="006D2AE9">
      <w:pPr>
        <w:pStyle w:val="NormalWeb"/>
        <w:shd w:val="clear" w:color="auto" w:fill="E2EFD9" w:themeFill="accent6" w:themeFillTint="33"/>
        <w:spacing w:before="0" w:beforeAutospacing="0" w:after="0" w:afterAutospacing="0"/>
        <w:ind w:left="426"/>
        <w:jc w:val="both"/>
        <w:rPr>
          <w:rFonts w:ascii="Arial" w:hAnsi="Arial" w:cs="Arial"/>
          <w:color w:val="333333"/>
          <w:sz w:val="18"/>
          <w:szCs w:val="18"/>
        </w:rPr>
      </w:pPr>
      <w:r w:rsidRPr="004C279D">
        <w:rPr>
          <w:rStyle w:val="spip-puce"/>
          <w:rFonts w:ascii="Arial" w:hAnsi="Arial" w:cs="Arial"/>
          <w:b/>
          <w:bCs/>
          <w:color w:val="333333"/>
          <w:sz w:val="18"/>
          <w:szCs w:val="18"/>
        </w:rPr>
        <w:t>–</w:t>
      </w:r>
      <w:r w:rsidRPr="004C279D">
        <w:rPr>
          <w:rFonts w:ascii="Arial" w:hAnsi="Arial" w:cs="Arial"/>
          <w:color w:val="333333"/>
          <w:sz w:val="18"/>
          <w:szCs w:val="18"/>
        </w:rPr>
        <w:t> Au titre de la formalité dite de « publicité », le règlement intérieur est porté, par tout moyen (par exemple, l’affichage ou la publication sur l’intranet de l’entreprise sous réserve que les salariés en soient informés), à la connaissance des personnes ayant accès aux lieux de travail ou aux locaux où se fait l’embauche.</w:t>
      </w:r>
    </w:p>
    <w:p w14:paraId="2906F446" w14:textId="77777777" w:rsidR="006D2AE9" w:rsidRPr="004C279D" w:rsidRDefault="006D2AE9" w:rsidP="006D2AE9">
      <w:pPr>
        <w:pStyle w:val="NormalWeb"/>
        <w:shd w:val="clear" w:color="auto" w:fill="E2EFD9" w:themeFill="accent6" w:themeFillTint="33"/>
        <w:spacing w:before="0" w:beforeAutospacing="0" w:after="0" w:afterAutospacing="0"/>
        <w:ind w:left="426"/>
        <w:jc w:val="both"/>
        <w:rPr>
          <w:rFonts w:ascii="Arial" w:hAnsi="Arial" w:cs="Arial"/>
          <w:color w:val="333333"/>
          <w:sz w:val="18"/>
          <w:szCs w:val="18"/>
        </w:rPr>
      </w:pPr>
      <w:r w:rsidRPr="004C279D">
        <w:rPr>
          <w:rStyle w:val="spip-puce"/>
          <w:rFonts w:ascii="Arial" w:hAnsi="Arial" w:cs="Arial"/>
          <w:b/>
          <w:bCs/>
          <w:color w:val="333333"/>
          <w:sz w:val="18"/>
          <w:szCs w:val="18"/>
        </w:rPr>
        <w:t>–</w:t>
      </w:r>
      <w:r w:rsidRPr="004C279D">
        <w:rPr>
          <w:rFonts w:ascii="Arial" w:hAnsi="Arial" w:cs="Arial"/>
          <w:color w:val="333333"/>
          <w:sz w:val="18"/>
          <w:szCs w:val="18"/>
        </w:rPr>
        <w:t> Le règlement intérieur est rédigé en français. Il peut être accompagné de traductions en une ou plusieurs langues étrangères. Il en va de même pour tout document comportant des obligations pour le salarié ou des dispositions dont la connaissance est nécessaire pour l’exécution de son travail.</w:t>
      </w:r>
    </w:p>
    <w:p w14:paraId="0AD5F4E7" w14:textId="77777777" w:rsidR="006D2AE9" w:rsidRPr="00DE1405" w:rsidRDefault="006D2AE9" w:rsidP="006D2AE9">
      <w:pPr>
        <w:pStyle w:val="NormalWeb"/>
        <w:shd w:val="clear" w:color="auto" w:fill="FFFFFF"/>
        <w:spacing w:before="120" w:beforeAutospacing="0" w:after="0" w:afterAutospacing="0"/>
        <w:jc w:val="both"/>
        <w:rPr>
          <w:rFonts w:ascii="Arial" w:hAnsi="Arial" w:cs="Arial"/>
          <w:color w:val="333333"/>
          <w:sz w:val="20"/>
          <w:szCs w:val="20"/>
        </w:rPr>
      </w:pPr>
      <w:r w:rsidRPr="00DE1405">
        <w:rPr>
          <w:rFonts w:ascii="Arial" w:hAnsi="Arial" w:cs="Arial"/>
          <w:color w:val="333333"/>
          <w:sz w:val="20"/>
          <w:szCs w:val="20"/>
        </w:rPr>
        <w:t>En même temps qu’il fait l’objet des mesures de publicité, le règlement intérieur, accompagné de l’avis du comité social et économique, est communiqué à l’inspecteur du travail en deux exemplaires.</w:t>
      </w:r>
    </w:p>
    <w:p w14:paraId="4D2102BB" w14:textId="77777777" w:rsidR="006D2AE9" w:rsidRPr="004C279D" w:rsidRDefault="006D2AE9" w:rsidP="006D2AE9">
      <w:pPr>
        <w:pStyle w:val="NormalWeb"/>
        <w:shd w:val="clear" w:color="auto" w:fill="E2EFD9" w:themeFill="accent6" w:themeFillTint="33"/>
        <w:spacing w:before="120" w:beforeAutospacing="0" w:after="0" w:afterAutospacing="0"/>
        <w:ind w:left="426"/>
        <w:jc w:val="both"/>
        <w:rPr>
          <w:rFonts w:ascii="Arial" w:hAnsi="Arial" w:cs="Arial"/>
          <w:color w:val="333333"/>
          <w:sz w:val="18"/>
          <w:szCs w:val="18"/>
        </w:rPr>
      </w:pPr>
      <w:r w:rsidRPr="004C279D">
        <w:rPr>
          <w:rFonts w:ascii="Arial" w:hAnsi="Arial" w:cs="Arial"/>
          <w:color w:val="333333"/>
          <w:sz w:val="18"/>
          <w:szCs w:val="18"/>
        </w:rPr>
        <w:t xml:space="preserve">Les mêmes formalités doivent être accomplies en cas de modification ou de retrait des clauses du règlement intérieur. </w:t>
      </w:r>
    </w:p>
    <w:p w14:paraId="06729E59" w14:textId="77777777" w:rsidR="006D2AE9" w:rsidRDefault="006D2AE9" w:rsidP="006D2AE9">
      <w:pPr>
        <w:pStyle w:val="NormalWeb"/>
        <w:shd w:val="clear" w:color="auto" w:fill="FFFFFF"/>
        <w:spacing w:before="120" w:beforeAutospacing="0" w:after="120" w:afterAutospacing="0"/>
        <w:jc w:val="both"/>
        <w:rPr>
          <w:rFonts w:ascii="Arial" w:hAnsi="Arial" w:cs="Arial"/>
          <w:color w:val="333333"/>
          <w:sz w:val="20"/>
          <w:szCs w:val="20"/>
        </w:rPr>
      </w:pPr>
      <w:r w:rsidRPr="00DE1405">
        <w:rPr>
          <w:rFonts w:ascii="Arial" w:hAnsi="Arial" w:cs="Arial"/>
          <w:color w:val="333333"/>
          <w:sz w:val="20"/>
          <w:szCs w:val="20"/>
        </w:rPr>
        <w:t>Le règlement entre en vigueur à la date qu’il fixe, date qui se situe au moins un mois après l’accomplissement de la dernière des formalités de publicité et de dépôt (voir ci-dessus).</w:t>
      </w:r>
    </w:p>
    <w:p w14:paraId="76316AB6" w14:textId="77777777" w:rsidR="006D2AE9" w:rsidRPr="008C2AA4" w:rsidRDefault="006D2AE9" w:rsidP="006D2AE9">
      <w:pPr>
        <w:spacing w:before="240"/>
        <w:rPr>
          <w:b/>
          <w:sz w:val="72"/>
          <w:szCs w:val="56"/>
        </w:rPr>
      </w:pPr>
      <w:r w:rsidRPr="002B324C">
        <w:rPr>
          <w:b/>
          <w:color w:val="FFFFFF" w:themeColor="background1"/>
          <w:sz w:val="24"/>
          <w:highlight w:val="red"/>
        </w:rPr>
        <w:t>Doc.</w:t>
      </w:r>
      <w:r>
        <w:rPr>
          <w:b/>
          <w:color w:val="FFFFFF" w:themeColor="background1"/>
          <w:sz w:val="24"/>
          <w:highlight w:val="red"/>
        </w:rPr>
        <w:t xml:space="preserve"> 2</w:t>
      </w:r>
      <w:r w:rsidRPr="002B324C">
        <w:rPr>
          <w:b/>
          <w:color w:val="FFFFFF" w:themeColor="background1"/>
          <w:sz w:val="24"/>
          <w:highlight w:val="red"/>
        </w:rPr>
        <w:t> </w:t>
      </w:r>
      <w:r w:rsidRPr="002B324C">
        <w:rPr>
          <w:b/>
          <w:color w:val="FFFFFF" w:themeColor="background1"/>
          <w:sz w:val="24"/>
        </w:rPr>
        <w:t xml:space="preserve"> </w:t>
      </w:r>
      <w:r w:rsidRPr="008C2AA4">
        <w:rPr>
          <w:b/>
          <w:sz w:val="24"/>
          <w:szCs w:val="32"/>
        </w:rPr>
        <w:t xml:space="preserve"> </w:t>
      </w:r>
      <w:r>
        <w:rPr>
          <w:b/>
          <w:sz w:val="24"/>
          <w:szCs w:val="32"/>
        </w:rPr>
        <w:t>Jurisprudences</w:t>
      </w:r>
      <w:r w:rsidRPr="008C2AA4">
        <w:rPr>
          <w:b/>
          <w:sz w:val="24"/>
          <w:szCs w:val="32"/>
        </w:rPr>
        <w:t xml:space="preserve"> </w:t>
      </w:r>
    </w:p>
    <w:p w14:paraId="60D7B2AA" w14:textId="77777777" w:rsidR="006D2AE9" w:rsidRPr="009D6039" w:rsidRDefault="006D2AE9" w:rsidP="006D2AE9">
      <w:pPr>
        <w:pStyle w:val="NormalWeb"/>
        <w:spacing w:before="120" w:beforeAutospacing="0" w:after="0" w:afterAutospacing="0"/>
        <w:jc w:val="both"/>
        <w:rPr>
          <w:rFonts w:ascii="Arial" w:hAnsi="Arial" w:cs="Arial"/>
          <w:color w:val="333333"/>
          <w:sz w:val="20"/>
          <w:szCs w:val="20"/>
        </w:rPr>
      </w:pPr>
      <w:r w:rsidRPr="009D6039">
        <w:rPr>
          <w:rFonts w:ascii="Arial" w:hAnsi="Arial" w:cs="Arial"/>
          <w:color w:val="333333"/>
          <w:sz w:val="20"/>
          <w:szCs w:val="20"/>
        </w:rPr>
        <w:t>Selon la Cour de cassation (arrêt de la Chambre sociale du 9 mai 2012</w:t>
      </w:r>
      <w:r>
        <w:rPr>
          <w:rFonts w:ascii="Arial" w:hAnsi="Arial" w:cs="Arial"/>
          <w:color w:val="333333"/>
          <w:sz w:val="20"/>
          <w:szCs w:val="20"/>
        </w:rPr>
        <w:t>)</w:t>
      </w:r>
      <w:r w:rsidRPr="009D6039">
        <w:rPr>
          <w:rFonts w:ascii="Arial" w:hAnsi="Arial" w:cs="Arial"/>
          <w:color w:val="333333"/>
          <w:sz w:val="20"/>
          <w:szCs w:val="20"/>
        </w:rPr>
        <w:t>, le règlement intérieur et les notes de service qui le complètent ne peuvent produire effet que si l’employeur a accompli les diligences prévues par l’article L 1321-4 du code du travail ; dès lors, l’employeur qui ne peut justifier avoir préalablement consulté les représentants du personnel et communiqué le règlement à l’inspecteur du travail, ne peut reprocher à un salarié un manquement aux obligations édictées par ce règlement et par une note de service.</w:t>
      </w:r>
    </w:p>
    <w:p w14:paraId="4DEE08FC" w14:textId="77777777" w:rsidR="006D2AE9" w:rsidRDefault="006D2AE9" w:rsidP="006D2AE9">
      <w:pPr>
        <w:pStyle w:val="NormalWeb"/>
        <w:spacing w:before="120" w:beforeAutospacing="0" w:after="0" w:afterAutospacing="0"/>
        <w:jc w:val="both"/>
        <w:rPr>
          <w:rFonts w:ascii="Arial" w:hAnsi="Arial" w:cs="Arial"/>
          <w:color w:val="333333"/>
          <w:sz w:val="20"/>
          <w:szCs w:val="20"/>
        </w:rPr>
      </w:pPr>
      <w:r w:rsidRPr="009D6039">
        <w:rPr>
          <w:rFonts w:ascii="Arial" w:hAnsi="Arial" w:cs="Arial"/>
          <w:color w:val="333333"/>
          <w:sz w:val="20"/>
          <w:szCs w:val="20"/>
        </w:rPr>
        <w:t xml:space="preserve">Les « notes de service » ou tout autre document comportant des obligations générales et permanentes dans les matières relevant du règlement intérieur sont considérés comme des adjonctions au règlement intérieur et soumis aux mêmes dispositions que celui-ci. Toutefois en cas d’urgence les prescriptions en matière de santé et de sécurité peuvent être mise en œuvre immédiatement, et communiquées concomitamment au CSE et à l’inspecteur du travail. (article L. 1321-5 du code du travail). </w:t>
      </w:r>
    </w:p>
    <w:p w14:paraId="3FDB9499" w14:textId="77777777" w:rsidR="006D2AE9" w:rsidRPr="009D6039" w:rsidRDefault="006D2AE9" w:rsidP="006D2AE9">
      <w:pPr>
        <w:pStyle w:val="NormalWeb"/>
        <w:spacing w:before="120" w:beforeAutospacing="0" w:after="0" w:afterAutospacing="0"/>
        <w:jc w:val="both"/>
        <w:rPr>
          <w:rFonts w:ascii="Arial" w:hAnsi="Arial" w:cs="Arial"/>
          <w:color w:val="333333"/>
          <w:sz w:val="20"/>
          <w:szCs w:val="20"/>
        </w:rPr>
      </w:pPr>
      <w:r w:rsidRPr="009D6039">
        <w:rPr>
          <w:rFonts w:ascii="Arial" w:hAnsi="Arial" w:cs="Arial"/>
          <w:color w:val="333333"/>
          <w:sz w:val="20"/>
          <w:szCs w:val="20"/>
        </w:rPr>
        <w:t>En outre, comme le précise la Cour de cassation dans l’arrêt du 23 juin 2021 précité, le document interne par lequel l’employeur se borne à rappeler les dispositions législatives et réglementaires applicables dans l’entreprise en matière de sécurité ne crée pas de nouvelles obligations générales et permanentes s’imposant aux salariés et ne constitue donc pas une adjonction au règlement intérieur requérant les formalités de consultation et de publicité prévues par le Code du travail.</w:t>
      </w:r>
    </w:p>
    <w:p w14:paraId="65E07E62" w14:textId="77777777" w:rsidR="006D2AE9" w:rsidRDefault="006D2AE9" w:rsidP="006D2AE9">
      <w:pPr>
        <w:jc w:val="both"/>
        <w:rPr>
          <w:rFonts w:cs="Arial"/>
        </w:rPr>
      </w:pPr>
    </w:p>
    <w:p w14:paraId="7C107662" w14:textId="77777777" w:rsidR="006D2AE9" w:rsidRDefault="006D2AE9" w:rsidP="006D2AE9">
      <w:pPr>
        <w:jc w:val="both"/>
        <w:rPr>
          <w:rFonts w:cs="Arial"/>
        </w:rPr>
      </w:pPr>
    </w:p>
    <w:p w14:paraId="28EE98CA" w14:textId="77777777" w:rsidR="006D2AE9" w:rsidRDefault="006D2AE9" w:rsidP="006D2AE9">
      <w:pPr>
        <w:jc w:val="both"/>
        <w:rPr>
          <w:rFonts w:cs="Arial"/>
        </w:rPr>
      </w:pPr>
    </w:p>
    <w:p w14:paraId="11711CAF" w14:textId="77777777" w:rsidR="006D2AE9" w:rsidRDefault="006D2AE9" w:rsidP="006D2AE9">
      <w:pPr>
        <w:jc w:val="both"/>
        <w:rPr>
          <w:rFonts w:cs="Arial"/>
        </w:rPr>
      </w:pPr>
    </w:p>
    <w:p w14:paraId="591D9F66" w14:textId="77777777" w:rsidR="006D2AE9" w:rsidRPr="00DE1405" w:rsidRDefault="006D2AE9" w:rsidP="006D2AE9">
      <w:pPr>
        <w:jc w:val="both"/>
        <w:rPr>
          <w:rFonts w:cs="Arial"/>
        </w:rPr>
      </w:pPr>
    </w:p>
    <w:p w14:paraId="20320FB3" w14:textId="62B7951D" w:rsidR="006D2AE9" w:rsidRPr="00D22CEC" w:rsidRDefault="006D2AE9" w:rsidP="006D2AE9">
      <w:pPr>
        <w:spacing w:before="120" w:after="120"/>
        <w:rPr>
          <w:b/>
          <w:sz w:val="24"/>
          <w:szCs w:val="28"/>
        </w:rPr>
      </w:pPr>
      <w:r>
        <w:rPr>
          <w:b/>
          <w:sz w:val="24"/>
          <w:szCs w:val="28"/>
        </w:rPr>
        <w:lastRenderedPageBreak/>
        <w:t>Réponses</w:t>
      </w:r>
    </w:p>
    <w:p w14:paraId="46EE16F0" w14:textId="77777777" w:rsidR="006D2AE9" w:rsidRDefault="006D2AE9" w:rsidP="006D2AE9">
      <w:pPr>
        <w:pStyle w:val="Paragraphedeliste"/>
        <w:numPr>
          <w:ilvl w:val="0"/>
          <w:numId w:val="8"/>
        </w:numPr>
        <w:rPr>
          <w:rFonts w:cs="Arial"/>
          <w:bCs/>
        </w:rPr>
      </w:pPr>
      <w:r w:rsidRPr="006D2AE9">
        <w:rPr>
          <w:rFonts w:cs="Arial"/>
          <w:bCs/>
        </w:rPr>
        <w:t>Quelles sont les entreprises qui ont l’obligation d’avoir un règlement intérieur ?</w:t>
      </w:r>
    </w:p>
    <w:p w14:paraId="5AD75A10" w14:textId="77777777" w:rsidR="006D2AE9" w:rsidRDefault="006D2AE9" w:rsidP="006D2AE9">
      <w:pPr>
        <w:rPr>
          <w:rFonts w:cs="Arial"/>
          <w:bCs/>
        </w:rPr>
      </w:pPr>
    </w:p>
    <w:p w14:paraId="0220C665" w14:textId="77777777" w:rsidR="006D2AE9" w:rsidRDefault="006D2AE9" w:rsidP="006D2AE9">
      <w:pPr>
        <w:rPr>
          <w:rFonts w:cs="Arial"/>
          <w:bCs/>
        </w:rPr>
      </w:pPr>
    </w:p>
    <w:p w14:paraId="2BE66DEE" w14:textId="77777777" w:rsidR="006D2AE9" w:rsidRDefault="006D2AE9" w:rsidP="006D2AE9">
      <w:pPr>
        <w:rPr>
          <w:rFonts w:cs="Arial"/>
          <w:bCs/>
        </w:rPr>
      </w:pPr>
    </w:p>
    <w:p w14:paraId="152E4D41" w14:textId="77777777" w:rsidR="006D2AE9" w:rsidRPr="006D2AE9" w:rsidRDefault="006D2AE9" w:rsidP="006D2AE9">
      <w:pPr>
        <w:rPr>
          <w:rFonts w:cs="Arial"/>
          <w:bCs/>
        </w:rPr>
      </w:pPr>
    </w:p>
    <w:p w14:paraId="36F2BF38" w14:textId="77777777" w:rsidR="006D2AE9" w:rsidRDefault="006D2AE9" w:rsidP="006D2AE9">
      <w:pPr>
        <w:pStyle w:val="Paragraphedeliste"/>
        <w:numPr>
          <w:ilvl w:val="0"/>
          <w:numId w:val="8"/>
        </w:numPr>
        <w:rPr>
          <w:rFonts w:cs="Arial"/>
          <w:bCs/>
        </w:rPr>
      </w:pPr>
      <w:r w:rsidRPr="006D2AE9">
        <w:rPr>
          <w:rFonts w:cs="Arial"/>
          <w:bCs/>
        </w:rPr>
        <w:t>Quelle est la procédure à respecter lors de son élaboration ?</w:t>
      </w:r>
    </w:p>
    <w:p w14:paraId="0E529670" w14:textId="77777777" w:rsidR="006D2AE9" w:rsidRDefault="006D2AE9" w:rsidP="006D2AE9">
      <w:pPr>
        <w:rPr>
          <w:rFonts w:cs="Arial"/>
          <w:bCs/>
        </w:rPr>
      </w:pPr>
    </w:p>
    <w:p w14:paraId="6DBC8AB1" w14:textId="77777777" w:rsidR="006D2AE9" w:rsidRDefault="006D2AE9" w:rsidP="006D2AE9">
      <w:pPr>
        <w:rPr>
          <w:rFonts w:cs="Arial"/>
          <w:bCs/>
        </w:rPr>
      </w:pPr>
    </w:p>
    <w:p w14:paraId="23A6D884" w14:textId="77777777" w:rsidR="006D2AE9" w:rsidRPr="006D2AE9" w:rsidRDefault="006D2AE9" w:rsidP="006D2AE9">
      <w:pPr>
        <w:rPr>
          <w:rFonts w:cs="Arial"/>
          <w:bCs/>
        </w:rPr>
      </w:pPr>
    </w:p>
    <w:p w14:paraId="199E8C81" w14:textId="36722A51" w:rsidR="006D2AE9" w:rsidRDefault="006D2AE9" w:rsidP="006D2AE9">
      <w:pPr>
        <w:pStyle w:val="Paragraphedeliste"/>
        <w:numPr>
          <w:ilvl w:val="0"/>
          <w:numId w:val="8"/>
        </w:numPr>
        <w:rPr>
          <w:rFonts w:cs="Arial"/>
          <w:bCs/>
        </w:rPr>
      </w:pPr>
      <w:r w:rsidRPr="006D2AE9">
        <w:rPr>
          <w:rFonts w:cs="Arial"/>
          <w:bCs/>
        </w:rPr>
        <w:t>Comment les salariés doivent-ils être informés</w:t>
      </w:r>
      <w:r>
        <w:rPr>
          <w:rFonts w:cs="Arial"/>
          <w:bCs/>
        </w:rPr>
        <w:t> ?</w:t>
      </w:r>
    </w:p>
    <w:p w14:paraId="05D6F6F8" w14:textId="77777777" w:rsidR="006D2AE9" w:rsidRDefault="006D2AE9" w:rsidP="006D2AE9">
      <w:pPr>
        <w:rPr>
          <w:rFonts w:cs="Arial"/>
          <w:bCs/>
        </w:rPr>
      </w:pPr>
    </w:p>
    <w:p w14:paraId="126BD9B0" w14:textId="77777777" w:rsidR="006D2AE9" w:rsidRDefault="006D2AE9" w:rsidP="006D2AE9">
      <w:pPr>
        <w:rPr>
          <w:rFonts w:cs="Arial"/>
          <w:bCs/>
        </w:rPr>
      </w:pPr>
    </w:p>
    <w:p w14:paraId="446180E4" w14:textId="77777777" w:rsidR="006D2AE9" w:rsidRDefault="006D2AE9" w:rsidP="006D2AE9">
      <w:pPr>
        <w:rPr>
          <w:rFonts w:cs="Arial"/>
          <w:bCs/>
        </w:rPr>
      </w:pPr>
    </w:p>
    <w:p w14:paraId="23BAB075" w14:textId="77777777" w:rsidR="006D2AE9" w:rsidRPr="006D2AE9" w:rsidRDefault="006D2AE9" w:rsidP="006D2AE9">
      <w:pPr>
        <w:rPr>
          <w:rFonts w:cs="Arial"/>
          <w:bCs/>
        </w:rPr>
      </w:pPr>
    </w:p>
    <w:p w14:paraId="7280FD70" w14:textId="77777777" w:rsidR="006D2AE9" w:rsidRDefault="006D2AE9" w:rsidP="006D2AE9">
      <w:pPr>
        <w:pStyle w:val="Paragraphedeliste"/>
        <w:numPr>
          <w:ilvl w:val="0"/>
          <w:numId w:val="8"/>
        </w:numPr>
        <w:rPr>
          <w:rFonts w:cs="Arial"/>
          <w:bCs/>
        </w:rPr>
      </w:pPr>
      <w:r w:rsidRPr="006D2AE9">
        <w:rPr>
          <w:rFonts w:cs="Arial"/>
          <w:bCs/>
        </w:rPr>
        <w:t xml:space="preserve">Quelles sont les règles applicables en ce qui concerne les notes de services ? </w:t>
      </w:r>
    </w:p>
    <w:p w14:paraId="24FAFC45" w14:textId="77777777" w:rsidR="006D2AE9" w:rsidRDefault="006D2AE9" w:rsidP="006D2AE9">
      <w:pPr>
        <w:rPr>
          <w:rFonts w:cs="Arial"/>
          <w:bCs/>
        </w:rPr>
      </w:pPr>
    </w:p>
    <w:p w14:paraId="09EF49CA" w14:textId="77777777" w:rsidR="006D2AE9" w:rsidRDefault="006D2AE9" w:rsidP="006D2AE9">
      <w:pPr>
        <w:rPr>
          <w:rFonts w:cs="Arial"/>
          <w:bCs/>
        </w:rPr>
      </w:pPr>
    </w:p>
    <w:p w14:paraId="4653DE9F" w14:textId="77777777" w:rsidR="006D2AE9" w:rsidRDefault="006D2AE9" w:rsidP="006D2AE9">
      <w:pPr>
        <w:rPr>
          <w:rFonts w:cs="Arial"/>
          <w:bCs/>
        </w:rPr>
      </w:pPr>
    </w:p>
    <w:p w14:paraId="2DC46E0B" w14:textId="77777777" w:rsidR="006D2AE9" w:rsidRPr="006D2AE9" w:rsidRDefault="006D2AE9" w:rsidP="006D2AE9">
      <w:pPr>
        <w:rPr>
          <w:rFonts w:cs="Arial"/>
          <w:bCs/>
        </w:rPr>
      </w:pPr>
    </w:p>
    <w:p w14:paraId="5987A3F4" w14:textId="77777777" w:rsidR="006D2AE9" w:rsidRPr="006D2AE9" w:rsidRDefault="006D2AE9" w:rsidP="006D2AE9">
      <w:pPr>
        <w:pStyle w:val="Paragraphedeliste"/>
        <w:numPr>
          <w:ilvl w:val="0"/>
          <w:numId w:val="8"/>
        </w:numPr>
        <w:rPr>
          <w:rFonts w:cs="Arial"/>
          <w:bCs/>
        </w:rPr>
      </w:pPr>
      <w:r w:rsidRPr="006D2AE9">
        <w:rPr>
          <w:rFonts w:cs="Arial"/>
          <w:bCs/>
        </w:rPr>
        <w:t>Quelles sont les règles applicables aux notes de service qui rappellent les règles du RI ?</w:t>
      </w:r>
    </w:p>
    <w:p w14:paraId="3ACE8787" w14:textId="77777777" w:rsidR="006D2AE9" w:rsidRPr="00DE1405" w:rsidRDefault="006D2AE9" w:rsidP="006D2AE9">
      <w:pPr>
        <w:jc w:val="both"/>
        <w:rPr>
          <w:rFonts w:cs="Arial"/>
        </w:rPr>
      </w:pPr>
    </w:p>
    <w:p w14:paraId="63BDFC8F" w14:textId="77777777" w:rsidR="00443F45" w:rsidRPr="006D2AE9" w:rsidRDefault="00443F45" w:rsidP="006D2AE9"/>
    <w:sectPr w:rsidR="00443F45" w:rsidRPr="006D2AE9" w:rsidSect="005A514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5DC7"/>
    <w:multiLevelType w:val="hybridMultilevel"/>
    <w:tmpl w:val="D8364E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E384DFC"/>
    <w:multiLevelType w:val="hybridMultilevel"/>
    <w:tmpl w:val="00B69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37542BB"/>
    <w:multiLevelType w:val="multilevel"/>
    <w:tmpl w:val="6ACED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57F0045"/>
    <w:multiLevelType w:val="hybridMultilevel"/>
    <w:tmpl w:val="0DA851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DA76E9D"/>
    <w:multiLevelType w:val="hybridMultilevel"/>
    <w:tmpl w:val="F022CA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1790832"/>
    <w:multiLevelType w:val="hybridMultilevel"/>
    <w:tmpl w:val="50F649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197104B"/>
    <w:multiLevelType w:val="hybridMultilevel"/>
    <w:tmpl w:val="963CEA0E"/>
    <w:lvl w:ilvl="0" w:tplc="46325B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B042731"/>
    <w:multiLevelType w:val="hybridMultilevel"/>
    <w:tmpl w:val="67D83E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85006789">
    <w:abstractNumId w:val="1"/>
  </w:num>
  <w:num w:numId="2" w16cid:durableId="144013627">
    <w:abstractNumId w:val="0"/>
  </w:num>
  <w:num w:numId="3" w16cid:durableId="287781948">
    <w:abstractNumId w:val="7"/>
  </w:num>
  <w:num w:numId="4" w16cid:durableId="1309625289">
    <w:abstractNumId w:val="6"/>
  </w:num>
  <w:num w:numId="5" w16cid:durableId="362485591">
    <w:abstractNumId w:val="4"/>
  </w:num>
  <w:num w:numId="6" w16cid:durableId="1513834584">
    <w:abstractNumId w:val="2"/>
  </w:num>
  <w:num w:numId="7" w16cid:durableId="496192892">
    <w:abstractNumId w:val="3"/>
  </w:num>
  <w:num w:numId="8" w16cid:durableId="1739940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A1"/>
    <w:rsid w:val="000A1689"/>
    <w:rsid w:val="001F7E39"/>
    <w:rsid w:val="00443F45"/>
    <w:rsid w:val="00562151"/>
    <w:rsid w:val="005A5143"/>
    <w:rsid w:val="006D2AE9"/>
    <w:rsid w:val="008A33A1"/>
    <w:rsid w:val="00996DF4"/>
    <w:rsid w:val="00BC6BB5"/>
    <w:rsid w:val="00E86EF7"/>
    <w:rsid w:val="00ED0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9CE5"/>
  <w15:chartTrackingRefBased/>
  <w15:docId w15:val="{16D4E55C-82D7-44AA-8C47-E813A40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A1"/>
    <w:pPr>
      <w:spacing w:after="0" w:line="240" w:lineRule="auto"/>
    </w:pPr>
    <w:rPr>
      <w:rFonts w:ascii="Arial" w:eastAsia="Times New Roman" w:hAnsi="Arial" w:cs="Times New Roman"/>
      <w:szCs w:val="24"/>
      <w:lang w:eastAsia="fr-FR"/>
    </w:rPr>
  </w:style>
  <w:style w:type="paragraph" w:styleId="Titre2">
    <w:name w:val="heading 2"/>
    <w:basedOn w:val="Normal"/>
    <w:link w:val="Titre2Car"/>
    <w:uiPriority w:val="9"/>
    <w:qFormat/>
    <w:rsid w:val="008A33A1"/>
    <w:pPr>
      <w:spacing w:after="120"/>
      <w:outlineLvl w:val="1"/>
    </w:pPr>
    <w:rPr>
      <w:rFonts w:cs="Arial"/>
      <w:b/>
      <w:color w:val="000000"/>
      <w:sz w:val="28"/>
      <w:szCs w:val="20"/>
    </w:rPr>
  </w:style>
  <w:style w:type="paragraph" w:styleId="Titre3">
    <w:name w:val="heading 3"/>
    <w:basedOn w:val="Normal"/>
    <w:next w:val="Normal"/>
    <w:link w:val="Titre3Car"/>
    <w:uiPriority w:val="9"/>
    <w:unhideWhenUsed/>
    <w:qFormat/>
    <w:rsid w:val="005A514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33A1"/>
    <w:rPr>
      <w:rFonts w:ascii="Arial" w:eastAsia="Times New Roman" w:hAnsi="Arial" w:cs="Arial"/>
      <w:b/>
      <w:color w:val="000000"/>
      <w:sz w:val="28"/>
      <w:szCs w:val="20"/>
      <w:lang w:eastAsia="fr-FR"/>
    </w:rPr>
  </w:style>
  <w:style w:type="character" w:styleId="Lienhypertexte">
    <w:name w:val="Hyperlink"/>
    <w:uiPriority w:val="99"/>
    <w:unhideWhenUsed/>
    <w:rsid w:val="008A33A1"/>
    <w:rPr>
      <w:color w:val="0000FF"/>
      <w:u w:val="single"/>
    </w:rPr>
  </w:style>
  <w:style w:type="paragraph" w:styleId="Paragraphedeliste">
    <w:name w:val="List Paragraph"/>
    <w:basedOn w:val="Normal"/>
    <w:uiPriority w:val="34"/>
    <w:qFormat/>
    <w:rsid w:val="008A33A1"/>
    <w:pPr>
      <w:ind w:left="720"/>
      <w:contextualSpacing/>
    </w:pPr>
  </w:style>
  <w:style w:type="character" w:customStyle="1" w:styleId="auteur">
    <w:name w:val="auteur"/>
    <w:basedOn w:val="Policepardfaut"/>
    <w:rsid w:val="008A33A1"/>
  </w:style>
  <w:style w:type="character" w:customStyle="1" w:styleId="Titre3Car">
    <w:name w:val="Titre 3 Car"/>
    <w:basedOn w:val="Policepardfaut"/>
    <w:link w:val="Titre3"/>
    <w:uiPriority w:val="9"/>
    <w:rsid w:val="005A5143"/>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rsid w:val="006D2AE9"/>
    <w:pPr>
      <w:spacing w:before="100" w:beforeAutospacing="1" w:after="100" w:afterAutospacing="1"/>
    </w:pPr>
    <w:rPr>
      <w:rFonts w:ascii="Times New Roman" w:hAnsi="Times New Roman"/>
      <w:sz w:val="24"/>
    </w:rPr>
  </w:style>
  <w:style w:type="character" w:customStyle="1" w:styleId="spip-puce">
    <w:name w:val="spip-puce"/>
    <w:basedOn w:val="Policepardfaut"/>
    <w:rsid w:val="006D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3697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2015-12-27T15:13:00Z</dcterms:created>
  <dcterms:modified xsi:type="dcterms:W3CDTF">2023-11-07T21:19:00Z</dcterms:modified>
</cp:coreProperties>
</file>