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5A5143" w:rsidRPr="002B324C" w14:paraId="079733FD" w14:textId="77777777" w:rsidTr="00285628">
        <w:trPr>
          <w:trHeight w:val="386"/>
        </w:trPr>
        <w:tc>
          <w:tcPr>
            <w:tcW w:w="9918" w:type="dxa"/>
            <w:gridSpan w:val="3"/>
            <w:shd w:val="clear" w:color="auto" w:fill="FFFF00"/>
          </w:tcPr>
          <w:p w14:paraId="75ACF746" w14:textId="608ACC22" w:rsidR="005A5143" w:rsidRPr="00961959" w:rsidRDefault="005A5143" w:rsidP="005A5143">
            <w:pPr>
              <w:pStyle w:val="Titre3"/>
              <w:spacing w:before="120" w:after="120"/>
              <w:jc w:val="center"/>
              <w:rPr>
                <w:rFonts w:ascii="Arial" w:hAnsi="Arial" w:cs="Arial"/>
                <w:b/>
                <w:bCs/>
                <w:sz w:val="28"/>
                <w:szCs w:val="32"/>
              </w:rPr>
            </w:pPr>
            <w:r w:rsidRPr="00961959">
              <w:rPr>
                <w:rFonts w:ascii="Arial" w:hAnsi="Arial" w:cs="Arial"/>
                <w:b/>
                <w:bCs/>
                <w:sz w:val="28"/>
                <w:szCs w:val="32"/>
              </w:rPr>
              <w:t>Réflexion 4 - Définir la faute par défaut d’information</w:t>
            </w:r>
            <w:r>
              <w:rPr>
                <w:rFonts w:ascii="Arial" w:hAnsi="Arial" w:cs="Arial"/>
                <w:b/>
                <w:bCs/>
                <w:sz w:val="28"/>
                <w:szCs w:val="32"/>
              </w:rPr>
              <w:t xml:space="preserve"> </w:t>
            </w:r>
          </w:p>
        </w:tc>
      </w:tr>
      <w:tr w:rsidR="005A5143" w:rsidRPr="00961959" w14:paraId="282AE048" w14:textId="77777777" w:rsidTr="00285628">
        <w:trPr>
          <w:trHeight w:val="267"/>
        </w:trPr>
        <w:tc>
          <w:tcPr>
            <w:tcW w:w="1413" w:type="dxa"/>
            <w:shd w:val="clear" w:color="auto" w:fill="FFFF00"/>
            <w:vAlign w:val="center"/>
          </w:tcPr>
          <w:p w14:paraId="4EB2389E" w14:textId="4E37E80A" w:rsidR="005A5143" w:rsidRPr="00961959" w:rsidRDefault="005A5143" w:rsidP="00285628">
            <w:pPr>
              <w:jc w:val="center"/>
              <w:rPr>
                <w:i/>
                <w:sz w:val="20"/>
                <w:szCs w:val="22"/>
              </w:rPr>
            </w:pPr>
            <w:r w:rsidRPr="00961959">
              <w:rPr>
                <w:b/>
                <w:sz w:val="20"/>
                <w:szCs w:val="22"/>
              </w:rPr>
              <w:t>Durée</w:t>
            </w:r>
            <w:r w:rsidRPr="00961959">
              <w:rPr>
                <w:sz w:val="20"/>
                <w:szCs w:val="22"/>
              </w:rPr>
              <w:t xml:space="preserve"> : </w:t>
            </w:r>
            <w:r w:rsidR="001F7E39">
              <w:rPr>
                <w:sz w:val="20"/>
                <w:szCs w:val="22"/>
              </w:rPr>
              <w:t>15</w:t>
            </w:r>
            <w:r w:rsidRPr="00961959">
              <w:rPr>
                <w:sz w:val="20"/>
                <w:szCs w:val="22"/>
              </w:rPr>
              <w:t>’</w:t>
            </w:r>
          </w:p>
        </w:tc>
        <w:tc>
          <w:tcPr>
            <w:tcW w:w="7229" w:type="dxa"/>
            <w:shd w:val="clear" w:color="auto" w:fill="FFFF00"/>
            <w:vAlign w:val="center"/>
          </w:tcPr>
          <w:p w14:paraId="2632D8B8" w14:textId="249DC8B7" w:rsidR="005A5143" w:rsidRPr="00961959" w:rsidRDefault="000A1689" w:rsidP="00285628">
            <w:pPr>
              <w:jc w:val="center"/>
              <w:rPr>
                <w:i/>
                <w:sz w:val="20"/>
                <w:szCs w:val="22"/>
              </w:rPr>
            </w:pPr>
            <w:r>
              <w:rPr>
                <w:i/>
                <w:noProof/>
              </w:rPr>
              <w:drawing>
                <wp:inline distT="0" distB="0" distL="0" distR="0" wp14:anchorId="63AC4BF6" wp14:editId="1EA1148B">
                  <wp:extent cx="325755" cy="325755"/>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i/>
              </w:rPr>
              <w:t xml:space="preserve">ou </w:t>
            </w:r>
            <w:r>
              <w:rPr>
                <w:i/>
                <w:noProof/>
              </w:rPr>
              <w:drawing>
                <wp:inline distT="0" distB="0" distL="0" distR="0" wp14:anchorId="63EB15F9" wp14:editId="735733A3">
                  <wp:extent cx="365760" cy="36576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07B0E416" w14:textId="77777777" w:rsidR="005A5143" w:rsidRPr="00961959" w:rsidRDefault="005A5143" w:rsidP="00285628">
            <w:pPr>
              <w:jc w:val="center"/>
              <w:rPr>
                <w:b/>
                <w:bCs/>
                <w:iCs/>
                <w:sz w:val="20"/>
                <w:szCs w:val="22"/>
              </w:rPr>
            </w:pPr>
            <w:r w:rsidRPr="00961959">
              <w:rPr>
                <w:b/>
                <w:bCs/>
                <w:iCs/>
                <w:sz w:val="20"/>
                <w:szCs w:val="22"/>
              </w:rPr>
              <w:t>Source</w:t>
            </w:r>
          </w:p>
        </w:tc>
      </w:tr>
    </w:tbl>
    <w:p w14:paraId="0FEAFE27" w14:textId="77777777" w:rsidR="005A5143" w:rsidRPr="00D22CEC" w:rsidRDefault="005A5143" w:rsidP="005A5143">
      <w:pPr>
        <w:spacing w:before="240"/>
        <w:rPr>
          <w:b/>
          <w:sz w:val="24"/>
          <w:szCs w:val="28"/>
        </w:rPr>
      </w:pPr>
      <w:r w:rsidRPr="00D22CEC">
        <w:rPr>
          <w:b/>
          <w:sz w:val="24"/>
          <w:szCs w:val="28"/>
        </w:rPr>
        <w:t xml:space="preserve">Travail à faire </w:t>
      </w:r>
    </w:p>
    <w:p w14:paraId="4524E965" w14:textId="1EDC077D" w:rsidR="005A5143" w:rsidRPr="00961959" w:rsidRDefault="005A5143" w:rsidP="005A5143">
      <w:pPr>
        <w:spacing w:before="120" w:after="120"/>
        <w:rPr>
          <w:rFonts w:cs="Arial"/>
          <w:bCs/>
          <w:sz w:val="20"/>
          <w:szCs w:val="20"/>
        </w:rPr>
      </w:pPr>
      <w:r w:rsidRPr="00961959">
        <w:rPr>
          <w:rFonts w:cs="Arial"/>
          <w:bCs/>
          <w:sz w:val="20"/>
          <w:szCs w:val="20"/>
        </w:rPr>
        <w:t xml:space="preserve">Après avoir lu le </w:t>
      </w:r>
      <w:r w:rsidRPr="00961959">
        <w:rPr>
          <w:rFonts w:cs="Arial"/>
          <w:b/>
          <w:sz w:val="20"/>
          <w:szCs w:val="20"/>
        </w:rPr>
        <w:t>document</w:t>
      </w:r>
      <w:r w:rsidRPr="00961959">
        <w:rPr>
          <w:rFonts w:cs="Arial"/>
          <w:bCs/>
          <w:sz w:val="20"/>
          <w:szCs w:val="20"/>
        </w:rPr>
        <w:t xml:space="preserve">, répondez aux questions suivantes : </w:t>
      </w:r>
    </w:p>
    <w:p w14:paraId="341AAF9E" w14:textId="77777777" w:rsidR="005A5143" w:rsidRPr="00961959" w:rsidRDefault="005A5143" w:rsidP="005A5143">
      <w:pPr>
        <w:pStyle w:val="Paragraphedeliste"/>
        <w:numPr>
          <w:ilvl w:val="0"/>
          <w:numId w:val="4"/>
        </w:numPr>
        <w:rPr>
          <w:rFonts w:cs="Arial"/>
          <w:bCs/>
          <w:sz w:val="20"/>
          <w:szCs w:val="20"/>
        </w:rPr>
      </w:pPr>
      <w:r w:rsidRPr="00961959">
        <w:rPr>
          <w:rFonts w:cs="Arial"/>
          <w:bCs/>
          <w:sz w:val="20"/>
          <w:szCs w:val="20"/>
        </w:rPr>
        <w:t>Quelle est la cause de l’accident ?</w:t>
      </w:r>
    </w:p>
    <w:p w14:paraId="7ED017C3" w14:textId="77777777" w:rsidR="005A5143" w:rsidRPr="00961959" w:rsidRDefault="005A5143" w:rsidP="005A5143">
      <w:pPr>
        <w:pStyle w:val="Paragraphedeliste"/>
        <w:numPr>
          <w:ilvl w:val="0"/>
          <w:numId w:val="4"/>
        </w:numPr>
        <w:rPr>
          <w:rFonts w:cs="Arial"/>
          <w:bCs/>
          <w:sz w:val="20"/>
          <w:szCs w:val="20"/>
        </w:rPr>
      </w:pPr>
      <w:r w:rsidRPr="00961959">
        <w:rPr>
          <w:rFonts w:cs="Arial"/>
          <w:bCs/>
          <w:sz w:val="20"/>
          <w:szCs w:val="20"/>
        </w:rPr>
        <w:t>Quel est le problème mis en exergue par cet article ?</w:t>
      </w:r>
    </w:p>
    <w:p w14:paraId="102C8C1A" w14:textId="77777777" w:rsidR="005A5143" w:rsidRDefault="005A5143" w:rsidP="005A5143">
      <w:pPr>
        <w:rPr>
          <w:rStyle w:val="Lienhypertexte"/>
          <w:rFonts w:eastAsiaTheme="majorEastAsia"/>
        </w:rPr>
      </w:pPr>
    </w:p>
    <w:p w14:paraId="18078974" w14:textId="0733101D" w:rsidR="005A5143" w:rsidRPr="008C2AA4" w:rsidRDefault="005A5143" w:rsidP="005A5143">
      <w:pPr>
        <w:spacing w:before="120"/>
        <w:rPr>
          <w:b/>
          <w:sz w:val="72"/>
          <w:szCs w:val="56"/>
        </w:rPr>
      </w:pPr>
      <w:r w:rsidRPr="002B324C">
        <w:rPr>
          <w:b/>
          <w:color w:val="FFFFFF" w:themeColor="background1"/>
          <w:sz w:val="24"/>
          <w:highlight w:val="red"/>
        </w:rPr>
        <w:t>Doc. </w:t>
      </w:r>
      <w:r w:rsidRPr="002B324C">
        <w:rPr>
          <w:b/>
          <w:color w:val="FFFFFF" w:themeColor="background1"/>
          <w:sz w:val="24"/>
        </w:rPr>
        <w:t xml:space="preserve"> </w:t>
      </w:r>
      <w:r w:rsidRPr="008C2AA4">
        <w:rPr>
          <w:b/>
          <w:sz w:val="24"/>
          <w:szCs w:val="32"/>
        </w:rPr>
        <w:t xml:space="preserve"> Pesticides : condamnation d'un employeur </w:t>
      </w:r>
    </w:p>
    <w:p w14:paraId="7430EFF8" w14:textId="77777777" w:rsidR="005A5143" w:rsidRPr="00961959" w:rsidRDefault="005A5143" w:rsidP="005A5143">
      <w:pPr>
        <w:spacing w:before="120"/>
        <w:rPr>
          <w:rFonts w:cs="Arial"/>
          <w:i/>
          <w:color w:val="000000"/>
          <w:sz w:val="20"/>
          <w:szCs w:val="18"/>
        </w:rPr>
      </w:pPr>
      <w:r w:rsidRPr="00961959">
        <w:rPr>
          <w:rFonts w:cs="Arial"/>
          <w:i/>
          <w:sz w:val="20"/>
          <w:szCs w:val="18"/>
        </w:rPr>
        <w:t xml:space="preserve">Source : </w:t>
      </w:r>
      <w:hyperlink r:id="rId9" w:history="1">
        <w:r w:rsidRPr="00961959">
          <w:rPr>
            <w:rStyle w:val="Lienhypertexte"/>
            <w:rFonts w:eastAsiaTheme="majorEastAsia" w:cs="Arial"/>
            <w:i/>
            <w:sz w:val="20"/>
            <w:szCs w:val="18"/>
          </w:rPr>
          <w:t>http://www.actu-environnement.com/ae/news/</w:t>
        </w:r>
      </w:hyperlink>
      <w:r w:rsidRPr="00961959">
        <w:rPr>
          <w:rFonts w:cs="Arial"/>
          <w:i/>
          <w:color w:val="484848"/>
          <w:sz w:val="20"/>
          <w:szCs w:val="18"/>
        </w:rPr>
        <w:t> |  Philippe Collet</w:t>
      </w:r>
      <w:r w:rsidRPr="00961959">
        <w:rPr>
          <w:rFonts w:cs="Arial"/>
          <w:i/>
          <w:vanish/>
          <w:color w:val="484848"/>
          <w:sz w:val="20"/>
          <w:szCs w:val="18"/>
        </w:rPr>
        <w:t>Actu-Environnement.com</w:t>
      </w:r>
    </w:p>
    <w:p w14:paraId="1472EC37" w14:textId="77777777" w:rsidR="005A5143" w:rsidRPr="00961959" w:rsidRDefault="005A5143" w:rsidP="005A5143">
      <w:pPr>
        <w:spacing w:before="240"/>
        <w:jc w:val="both"/>
        <w:rPr>
          <w:sz w:val="20"/>
          <w:szCs w:val="22"/>
        </w:rPr>
      </w:pPr>
      <w:r w:rsidRPr="00961959">
        <w:rPr>
          <w:sz w:val="20"/>
          <w:szCs w:val="22"/>
        </w:rPr>
        <w:t xml:space="preserve">Ce jeudi 11 septembre, le tribunal des affaires de sécurité sociale (Tass) de Saint Brieuc (Côtes-d'Armor) a condamné l'entreprise Nutréa-Triskalia pour faute inexcusable de l'employeur, après qu'un salarié ait été intoxiqué par des insecticides, rapporte Générations futures. Ce jugement </w:t>
      </w:r>
      <w:r w:rsidRPr="00961959">
        <w:rPr>
          <w:i/>
          <w:iCs/>
          <w:sz w:val="20"/>
          <w:szCs w:val="22"/>
        </w:rPr>
        <w:t>"est très certainement une première dans le domaine de l'agroalimentaire"</w:t>
      </w:r>
      <w:r w:rsidRPr="00961959">
        <w:rPr>
          <w:sz w:val="20"/>
          <w:szCs w:val="22"/>
        </w:rPr>
        <w:t>, explique l'association.</w:t>
      </w:r>
    </w:p>
    <w:p w14:paraId="17DCBBD8" w14:textId="77777777" w:rsidR="005A5143" w:rsidRPr="00961959" w:rsidRDefault="005A5143" w:rsidP="005A5143">
      <w:pPr>
        <w:spacing w:before="120"/>
        <w:jc w:val="both"/>
        <w:rPr>
          <w:sz w:val="20"/>
          <w:szCs w:val="22"/>
        </w:rPr>
      </w:pPr>
      <w:r w:rsidRPr="00961959">
        <w:rPr>
          <w:sz w:val="20"/>
          <w:szCs w:val="22"/>
        </w:rPr>
        <w:t xml:space="preserve">Le jugement du Tass met en cause </w:t>
      </w:r>
      <w:r w:rsidRPr="00961959">
        <w:rPr>
          <w:i/>
          <w:iCs/>
          <w:sz w:val="20"/>
          <w:szCs w:val="22"/>
        </w:rPr>
        <w:t>"une intoxication pulmonaire sanguine"</w:t>
      </w:r>
      <w:r w:rsidRPr="00961959">
        <w:rPr>
          <w:sz w:val="20"/>
          <w:szCs w:val="22"/>
        </w:rPr>
        <w:t xml:space="preserve"> au Nuvagrain et au Kobiol à des doses dix fois supérieures au maximum autorisé, selon l'expertise médicale qui évoque des </w:t>
      </w:r>
      <w:r w:rsidRPr="00961959">
        <w:rPr>
          <w:i/>
          <w:iCs/>
          <w:sz w:val="20"/>
          <w:szCs w:val="22"/>
        </w:rPr>
        <w:t>"pathologies respiratoires, cutanées et digestives"</w:t>
      </w:r>
      <w:r w:rsidRPr="00961959">
        <w:rPr>
          <w:sz w:val="20"/>
          <w:szCs w:val="22"/>
        </w:rPr>
        <w:t>.</w:t>
      </w:r>
    </w:p>
    <w:p w14:paraId="0A1F1A59" w14:textId="77777777" w:rsidR="005A5143" w:rsidRPr="00961959" w:rsidRDefault="005A5143" w:rsidP="005A5143">
      <w:pPr>
        <w:spacing w:before="120"/>
        <w:jc w:val="both"/>
        <w:rPr>
          <w:sz w:val="20"/>
          <w:szCs w:val="22"/>
        </w:rPr>
      </w:pPr>
      <w:r w:rsidRPr="00961959">
        <w:rPr>
          <w:i/>
          <w:iCs/>
          <w:sz w:val="20"/>
          <w:szCs w:val="22"/>
        </w:rPr>
        <w:t>"L'obligation de sécurité de résultat impose à l'employeur (…) de vérifier en permanence que l'activité confiée au salarié ne lui fait pas courir un risque manifeste pouvant porter atteinte à sa santé"</w:t>
      </w:r>
      <w:r w:rsidRPr="00961959">
        <w:rPr>
          <w:sz w:val="20"/>
          <w:szCs w:val="22"/>
        </w:rPr>
        <w:t>, rappelle le Tass, précisant que l'employeur doit avoir conscience du danger pour que la faute inexcusable soit reconnue.</w:t>
      </w:r>
    </w:p>
    <w:p w14:paraId="664289BE" w14:textId="77777777" w:rsidR="005A5143" w:rsidRPr="00961959" w:rsidRDefault="005A5143" w:rsidP="005A5143">
      <w:pPr>
        <w:spacing w:before="120"/>
        <w:jc w:val="both"/>
        <w:rPr>
          <w:sz w:val="20"/>
          <w:szCs w:val="22"/>
        </w:rPr>
      </w:pPr>
      <w:r w:rsidRPr="00961959">
        <w:rPr>
          <w:sz w:val="20"/>
          <w:szCs w:val="22"/>
        </w:rPr>
        <w:t xml:space="preserve">Or, un rapport de l'inspection du travail, daté du 5 décembre 2011, rapporte qu'en 2009, à cinq reprises, des salariés de l'entreprise, dont Laurent Guillou, </w:t>
      </w:r>
      <w:r w:rsidRPr="00961959">
        <w:rPr>
          <w:i/>
          <w:iCs/>
          <w:sz w:val="20"/>
          <w:szCs w:val="22"/>
        </w:rPr>
        <w:t>"ont été victimes de symptômes graves suite à la réception de blé"</w:t>
      </w:r>
      <w:r w:rsidRPr="00961959">
        <w:rPr>
          <w:sz w:val="20"/>
          <w:szCs w:val="22"/>
        </w:rPr>
        <w:t xml:space="preserve">. En cause ? L'absence d'information des employés par l'entreprise, alors qu'ils devaient recevoir des </w:t>
      </w:r>
      <w:r w:rsidRPr="00961959">
        <w:rPr>
          <w:i/>
          <w:iCs/>
          <w:sz w:val="20"/>
          <w:szCs w:val="22"/>
        </w:rPr>
        <w:t>"lots de céréales traitées (…) avec un produit nocif interdit d'usage"</w:t>
      </w:r>
      <w:r w:rsidRPr="00961959">
        <w:rPr>
          <w:sz w:val="20"/>
          <w:szCs w:val="22"/>
        </w:rPr>
        <w:t>.</w:t>
      </w:r>
    </w:p>
    <w:p w14:paraId="21AB2DD2" w14:textId="77777777" w:rsidR="005A5143" w:rsidRPr="00961959" w:rsidRDefault="005A5143" w:rsidP="005A5143">
      <w:pPr>
        <w:spacing w:before="120"/>
        <w:jc w:val="both"/>
        <w:rPr>
          <w:sz w:val="20"/>
          <w:szCs w:val="22"/>
        </w:rPr>
      </w:pPr>
      <w:r w:rsidRPr="00961959">
        <w:rPr>
          <w:sz w:val="20"/>
          <w:szCs w:val="22"/>
        </w:rPr>
        <w:t xml:space="preserve">En 2010, la même situation se répète et l'inspecteur du travail relève 14 concomitances entre les réceptions des lots et les intoxications. Toujours selon l'inspecteur, l'entreprise a commis une faute qui relève du </w:t>
      </w:r>
      <w:r w:rsidRPr="00961959">
        <w:rPr>
          <w:i/>
          <w:iCs/>
          <w:sz w:val="20"/>
          <w:szCs w:val="22"/>
        </w:rPr>
        <w:t>"défaut d'information et de formation à l'utilisation de protection individuelle (…), défaut de mise à disposition d'équipements de protection individuelle adaptés"</w:t>
      </w:r>
      <w:r w:rsidRPr="00961959">
        <w:rPr>
          <w:sz w:val="20"/>
          <w:szCs w:val="22"/>
        </w:rPr>
        <w:t>.</w:t>
      </w:r>
    </w:p>
    <w:p w14:paraId="3F098511" w14:textId="77777777" w:rsidR="005A5143" w:rsidRPr="00961959" w:rsidRDefault="005A5143" w:rsidP="005A5143">
      <w:pPr>
        <w:spacing w:before="120"/>
        <w:jc w:val="both"/>
        <w:rPr>
          <w:sz w:val="20"/>
          <w:szCs w:val="22"/>
        </w:rPr>
      </w:pPr>
      <w:r w:rsidRPr="00961959">
        <w:rPr>
          <w:sz w:val="20"/>
          <w:szCs w:val="22"/>
        </w:rPr>
        <w:t>Pour le tribunal, il est démontré que l'employeur n'a pas pris les mesures nécessaires pour pallier les risques normalement prévisibles, compte tenu de la répétition des intoxications en 2009 et en 2010. […]</w:t>
      </w:r>
    </w:p>
    <w:p w14:paraId="07EE3BF9" w14:textId="77777777" w:rsidR="008A33A1" w:rsidRDefault="008A33A1" w:rsidP="008A33A1"/>
    <w:p w14:paraId="597F630C" w14:textId="131C4C2F" w:rsidR="00562151" w:rsidRDefault="005A5143" w:rsidP="00562151">
      <w:pPr>
        <w:spacing w:before="240"/>
        <w:rPr>
          <w:rFonts w:cs="Arial"/>
          <w:b/>
          <w:sz w:val="24"/>
        </w:rPr>
      </w:pPr>
      <w:r>
        <w:rPr>
          <w:rFonts w:cs="Arial"/>
          <w:b/>
          <w:sz w:val="24"/>
        </w:rPr>
        <w:t>Réponses</w:t>
      </w:r>
    </w:p>
    <w:p w14:paraId="5B3FC748" w14:textId="77777777" w:rsidR="00562151" w:rsidRPr="00562151" w:rsidRDefault="00562151" w:rsidP="00562151">
      <w:pPr>
        <w:rPr>
          <w:rFonts w:cs="Arial"/>
          <w:b/>
          <w:sz w:val="24"/>
        </w:rPr>
      </w:pPr>
    </w:p>
    <w:p w14:paraId="38CCF298" w14:textId="54EEF135" w:rsidR="00562151" w:rsidRPr="005A5143" w:rsidRDefault="00562151" w:rsidP="005A5143">
      <w:pPr>
        <w:pStyle w:val="Paragraphedeliste"/>
        <w:numPr>
          <w:ilvl w:val="0"/>
          <w:numId w:val="5"/>
        </w:numPr>
        <w:rPr>
          <w:rFonts w:cs="Arial"/>
          <w:b/>
          <w:sz w:val="24"/>
        </w:rPr>
      </w:pPr>
      <w:r w:rsidRPr="005A5143">
        <w:rPr>
          <w:rFonts w:cs="Arial"/>
          <w:b/>
          <w:sz w:val="24"/>
        </w:rPr>
        <w:t>Quelle est la cause de l’accident ?</w:t>
      </w:r>
    </w:p>
    <w:p w14:paraId="2983781A" w14:textId="77777777" w:rsidR="00562151" w:rsidRDefault="00562151" w:rsidP="00562151">
      <w:pPr>
        <w:rPr>
          <w:rFonts w:cs="Arial"/>
          <w:b/>
          <w:sz w:val="24"/>
        </w:rPr>
      </w:pPr>
    </w:p>
    <w:p w14:paraId="33A350D7" w14:textId="7FAAA3B9" w:rsidR="00562151" w:rsidRDefault="00562151" w:rsidP="00562151">
      <w:pPr>
        <w:rPr>
          <w:rFonts w:cs="Arial"/>
          <w:b/>
          <w:sz w:val="24"/>
        </w:rPr>
      </w:pPr>
    </w:p>
    <w:p w14:paraId="5057E518" w14:textId="56FCB158" w:rsidR="005A5143" w:rsidRDefault="005A5143" w:rsidP="00562151">
      <w:pPr>
        <w:rPr>
          <w:rFonts w:cs="Arial"/>
          <w:b/>
          <w:sz w:val="24"/>
        </w:rPr>
      </w:pPr>
    </w:p>
    <w:p w14:paraId="372C5ED3" w14:textId="77777777" w:rsidR="005A5143" w:rsidRDefault="005A5143" w:rsidP="00562151">
      <w:pPr>
        <w:rPr>
          <w:rFonts w:cs="Arial"/>
          <w:b/>
          <w:sz w:val="24"/>
        </w:rPr>
      </w:pPr>
    </w:p>
    <w:p w14:paraId="1B612851" w14:textId="77777777" w:rsidR="00562151" w:rsidRPr="00562151" w:rsidRDefault="00562151" w:rsidP="00562151">
      <w:pPr>
        <w:rPr>
          <w:rFonts w:cs="Arial"/>
          <w:b/>
          <w:sz w:val="24"/>
        </w:rPr>
      </w:pPr>
    </w:p>
    <w:p w14:paraId="79546797" w14:textId="77777777" w:rsidR="00562151" w:rsidRDefault="00562151" w:rsidP="005A5143">
      <w:pPr>
        <w:pStyle w:val="Paragraphedeliste"/>
        <w:numPr>
          <w:ilvl w:val="0"/>
          <w:numId w:val="5"/>
        </w:numPr>
        <w:rPr>
          <w:rFonts w:cs="Arial"/>
          <w:b/>
          <w:sz w:val="24"/>
        </w:rPr>
      </w:pPr>
      <w:r w:rsidRPr="00562151">
        <w:rPr>
          <w:rFonts w:cs="Arial"/>
          <w:b/>
          <w:sz w:val="24"/>
        </w:rPr>
        <w:t xml:space="preserve">Quel est le problème </w:t>
      </w:r>
      <w:r w:rsidR="00BC6BB5">
        <w:rPr>
          <w:rFonts w:cs="Arial"/>
          <w:b/>
          <w:sz w:val="24"/>
        </w:rPr>
        <w:t xml:space="preserve">mis en </w:t>
      </w:r>
      <w:r w:rsidR="00996DF4">
        <w:rPr>
          <w:rFonts w:cs="Arial"/>
          <w:b/>
          <w:sz w:val="24"/>
        </w:rPr>
        <w:t>évidence</w:t>
      </w:r>
      <w:r w:rsidR="00BC6BB5">
        <w:rPr>
          <w:rFonts w:cs="Arial"/>
          <w:b/>
          <w:sz w:val="24"/>
        </w:rPr>
        <w:t xml:space="preserve"> par</w:t>
      </w:r>
      <w:r w:rsidRPr="00562151">
        <w:rPr>
          <w:rFonts w:cs="Arial"/>
          <w:b/>
          <w:sz w:val="24"/>
        </w:rPr>
        <w:t xml:space="preserve"> cet article ?</w:t>
      </w:r>
    </w:p>
    <w:p w14:paraId="36170697" w14:textId="77777777" w:rsidR="00562151" w:rsidRPr="00562151" w:rsidRDefault="00562151" w:rsidP="00562151">
      <w:pPr>
        <w:pStyle w:val="Paragraphedeliste"/>
        <w:rPr>
          <w:rFonts w:cs="Arial"/>
          <w:b/>
          <w:sz w:val="24"/>
        </w:rPr>
      </w:pPr>
    </w:p>
    <w:p w14:paraId="2C6496B7" w14:textId="77777777" w:rsidR="00562151" w:rsidRPr="00562151" w:rsidRDefault="00562151" w:rsidP="00562151">
      <w:pPr>
        <w:rPr>
          <w:rFonts w:cs="Arial"/>
          <w:b/>
          <w:sz w:val="24"/>
        </w:rPr>
      </w:pPr>
    </w:p>
    <w:p w14:paraId="29F6A560" w14:textId="77777777" w:rsidR="00562151" w:rsidRPr="00562151" w:rsidRDefault="00562151" w:rsidP="00562151">
      <w:pPr>
        <w:rPr>
          <w:rStyle w:val="Lienhypertexte"/>
          <w:sz w:val="24"/>
        </w:rPr>
      </w:pPr>
    </w:p>
    <w:p w14:paraId="763324DF" w14:textId="77777777" w:rsidR="008A33A1" w:rsidRDefault="008A33A1" w:rsidP="008A33A1"/>
    <w:p w14:paraId="231A666A" w14:textId="77777777" w:rsidR="008A33A1" w:rsidRDefault="008A33A1" w:rsidP="008A33A1"/>
    <w:p w14:paraId="46D7BD76" w14:textId="77777777" w:rsidR="008A33A1" w:rsidRDefault="008A33A1" w:rsidP="008A33A1"/>
    <w:p w14:paraId="5D8C203F" w14:textId="77777777" w:rsidR="008A33A1" w:rsidRDefault="008A33A1" w:rsidP="008A33A1"/>
    <w:p w14:paraId="63BDFC8F" w14:textId="77777777" w:rsidR="00443F45" w:rsidRDefault="00443F45"/>
    <w:sectPr w:rsidR="00443F45" w:rsidSect="005A514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45DC7"/>
    <w:multiLevelType w:val="hybridMultilevel"/>
    <w:tmpl w:val="D8364E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E384DFC"/>
    <w:multiLevelType w:val="hybridMultilevel"/>
    <w:tmpl w:val="00B69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DA76E9D"/>
    <w:multiLevelType w:val="hybridMultilevel"/>
    <w:tmpl w:val="F022CAF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197104B"/>
    <w:multiLevelType w:val="hybridMultilevel"/>
    <w:tmpl w:val="963CEA0E"/>
    <w:lvl w:ilvl="0" w:tplc="46325B1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B042731"/>
    <w:multiLevelType w:val="hybridMultilevel"/>
    <w:tmpl w:val="67D83E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85006789">
    <w:abstractNumId w:val="1"/>
  </w:num>
  <w:num w:numId="2" w16cid:durableId="144013627">
    <w:abstractNumId w:val="0"/>
  </w:num>
  <w:num w:numId="3" w16cid:durableId="287781948">
    <w:abstractNumId w:val="4"/>
  </w:num>
  <w:num w:numId="4" w16cid:durableId="1309625289">
    <w:abstractNumId w:val="3"/>
  </w:num>
  <w:num w:numId="5" w16cid:durableId="362485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A1"/>
    <w:rsid w:val="000A1689"/>
    <w:rsid w:val="001F7E39"/>
    <w:rsid w:val="00443F45"/>
    <w:rsid w:val="00562151"/>
    <w:rsid w:val="005A5143"/>
    <w:rsid w:val="008A33A1"/>
    <w:rsid w:val="00996DF4"/>
    <w:rsid w:val="00BC6BB5"/>
    <w:rsid w:val="00E86EF7"/>
    <w:rsid w:val="00ED0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9CE5"/>
  <w15:chartTrackingRefBased/>
  <w15:docId w15:val="{16D4E55C-82D7-44AA-8C47-E813A40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A1"/>
    <w:pPr>
      <w:spacing w:after="0" w:line="240" w:lineRule="auto"/>
    </w:pPr>
    <w:rPr>
      <w:rFonts w:ascii="Arial" w:eastAsia="Times New Roman" w:hAnsi="Arial" w:cs="Times New Roman"/>
      <w:szCs w:val="24"/>
      <w:lang w:eastAsia="fr-FR"/>
    </w:rPr>
  </w:style>
  <w:style w:type="paragraph" w:styleId="Titre2">
    <w:name w:val="heading 2"/>
    <w:basedOn w:val="Normal"/>
    <w:link w:val="Titre2Car"/>
    <w:uiPriority w:val="9"/>
    <w:qFormat/>
    <w:rsid w:val="008A33A1"/>
    <w:pPr>
      <w:spacing w:after="120"/>
      <w:outlineLvl w:val="1"/>
    </w:pPr>
    <w:rPr>
      <w:rFonts w:cs="Arial"/>
      <w:b/>
      <w:color w:val="000000"/>
      <w:sz w:val="28"/>
      <w:szCs w:val="20"/>
    </w:rPr>
  </w:style>
  <w:style w:type="paragraph" w:styleId="Titre3">
    <w:name w:val="heading 3"/>
    <w:basedOn w:val="Normal"/>
    <w:next w:val="Normal"/>
    <w:link w:val="Titre3Car"/>
    <w:uiPriority w:val="9"/>
    <w:unhideWhenUsed/>
    <w:qFormat/>
    <w:rsid w:val="005A514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A33A1"/>
    <w:rPr>
      <w:rFonts w:ascii="Arial" w:eastAsia="Times New Roman" w:hAnsi="Arial" w:cs="Arial"/>
      <w:b/>
      <w:color w:val="000000"/>
      <w:sz w:val="28"/>
      <w:szCs w:val="20"/>
      <w:lang w:eastAsia="fr-FR"/>
    </w:rPr>
  </w:style>
  <w:style w:type="character" w:styleId="Lienhypertexte">
    <w:name w:val="Hyperlink"/>
    <w:uiPriority w:val="99"/>
    <w:unhideWhenUsed/>
    <w:rsid w:val="008A33A1"/>
    <w:rPr>
      <w:color w:val="0000FF"/>
      <w:u w:val="single"/>
    </w:rPr>
  </w:style>
  <w:style w:type="paragraph" w:styleId="Paragraphedeliste">
    <w:name w:val="List Paragraph"/>
    <w:basedOn w:val="Normal"/>
    <w:uiPriority w:val="34"/>
    <w:qFormat/>
    <w:rsid w:val="008A33A1"/>
    <w:pPr>
      <w:ind w:left="720"/>
      <w:contextualSpacing/>
    </w:pPr>
  </w:style>
  <w:style w:type="character" w:customStyle="1" w:styleId="auteur">
    <w:name w:val="auteur"/>
    <w:basedOn w:val="Policepardfaut"/>
    <w:rsid w:val="008A33A1"/>
  </w:style>
  <w:style w:type="character" w:customStyle="1" w:styleId="Titre3Car">
    <w:name w:val="Titre 3 Car"/>
    <w:basedOn w:val="Policepardfaut"/>
    <w:link w:val="Titre3"/>
    <w:uiPriority w:val="9"/>
    <w:rsid w:val="005A5143"/>
    <w:rPr>
      <w:rFonts w:asciiTheme="majorHAnsi" w:eastAsiaTheme="majorEastAsia" w:hAnsiTheme="majorHAnsi" w:cstheme="majorBidi"/>
      <w:color w:val="1F4D78"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tu-environnement.com/ae/ne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2131</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2015-12-27T15:13:00Z</dcterms:created>
  <dcterms:modified xsi:type="dcterms:W3CDTF">2023-11-04T23:08:00Z</dcterms:modified>
</cp:coreProperties>
</file>