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7229"/>
        <w:gridCol w:w="1276"/>
      </w:tblGrid>
      <w:tr w:rsidR="001178B3" w:rsidRPr="009067DA" w14:paraId="24E5B721" w14:textId="77777777" w:rsidTr="00285628">
        <w:trPr>
          <w:trHeight w:val="386"/>
        </w:trPr>
        <w:tc>
          <w:tcPr>
            <w:tcW w:w="9918" w:type="dxa"/>
            <w:gridSpan w:val="3"/>
            <w:shd w:val="clear" w:color="auto" w:fill="FFFF00"/>
          </w:tcPr>
          <w:p w14:paraId="7B486F60" w14:textId="77777777" w:rsidR="001178B3" w:rsidRPr="001178B3" w:rsidRDefault="001178B3" w:rsidP="00285628">
            <w:pPr>
              <w:pStyle w:val="Titre3"/>
              <w:spacing w:before="120" w:after="120"/>
              <w:jc w:val="center"/>
              <w:rPr>
                <w:rFonts w:ascii="Arial" w:hAnsi="Arial" w:cs="Arial"/>
                <w:b/>
                <w:bCs/>
                <w:color w:val="000000" w:themeColor="text1"/>
                <w:sz w:val="28"/>
              </w:rPr>
            </w:pPr>
            <w:r w:rsidRPr="001178B3">
              <w:rPr>
                <w:rFonts w:ascii="Arial" w:hAnsi="Arial" w:cs="Arial"/>
                <w:b/>
                <w:bCs/>
                <w:color w:val="000000" w:themeColor="text1"/>
                <w:sz w:val="28"/>
              </w:rPr>
              <w:t>Réflexion 1 - Identifier la responsabilité de l'employeur</w:t>
            </w:r>
          </w:p>
        </w:tc>
      </w:tr>
      <w:tr w:rsidR="001178B3" w:rsidRPr="008C4F59" w14:paraId="38B81865" w14:textId="77777777" w:rsidTr="00285628">
        <w:trPr>
          <w:trHeight w:val="267"/>
        </w:trPr>
        <w:tc>
          <w:tcPr>
            <w:tcW w:w="1413" w:type="dxa"/>
            <w:shd w:val="clear" w:color="auto" w:fill="FFFF00"/>
            <w:vAlign w:val="center"/>
          </w:tcPr>
          <w:p w14:paraId="1BAF2D34" w14:textId="77777777" w:rsidR="001178B3" w:rsidRPr="008C4F59" w:rsidRDefault="001178B3" w:rsidP="00170516">
            <w:pPr>
              <w:spacing w:before="0"/>
              <w:jc w:val="center"/>
              <w:rPr>
                <w:i/>
                <w:sz w:val="20"/>
                <w:szCs w:val="20"/>
              </w:rPr>
            </w:pPr>
            <w:r w:rsidRPr="008C4F59">
              <w:rPr>
                <w:b/>
                <w:sz w:val="20"/>
                <w:szCs w:val="20"/>
              </w:rPr>
              <w:t>Durée</w:t>
            </w:r>
            <w:r w:rsidRPr="008C4F59">
              <w:rPr>
                <w:sz w:val="20"/>
                <w:szCs w:val="20"/>
              </w:rPr>
              <w:t xml:space="preserve"> : 20’</w:t>
            </w:r>
          </w:p>
        </w:tc>
        <w:tc>
          <w:tcPr>
            <w:tcW w:w="7229" w:type="dxa"/>
            <w:shd w:val="clear" w:color="auto" w:fill="FFFF00"/>
            <w:vAlign w:val="center"/>
          </w:tcPr>
          <w:p w14:paraId="2A65F0EB" w14:textId="0D1161AA" w:rsidR="001178B3" w:rsidRPr="008C4F59" w:rsidRDefault="00912A3B" w:rsidP="00170516">
            <w:pPr>
              <w:spacing w:before="0"/>
              <w:jc w:val="center"/>
              <w:rPr>
                <w:i/>
                <w:sz w:val="20"/>
                <w:szCs w:val="20"/>
              </w:rPr>
            </w:pPr>
            <w:r>
              <w:rPr>
                <w:i/>
                <w:noProof/>
              </w:rPr>
              <w:drawing>
                <wp:inline distT="0" distB="0" distL="0" distR="0" wp14:anchorId="54F1E3B9" wp14:editId="51503516">
                  <wp:extent cx="325755" cy="325755"/>
                  <wp:effectExtent l="0" t="0" r="0" b="0"/>
                  <wp:docPr id="567407418" name="Graphique 2" descr="Homme avec un remplissage uni"/>
                  <wp:cNvGraphicFramePr/>
                  <a:graphic xmlns:a="http://schemas.openxmlformats.org/drawingml/2006/main">
                    <a:graphicData uri="http://schemas.openxmlformats.org/drawingml/2006/picture">
                      <pic:pic xmlns:pic="http://schemas.openxmlformats.org/drawingml/2006/picture">
                        <pic:nvPicPr>
                          <pic:cNvPr id="567407418" name="Graphique 1" descr="Homme avec un remplissage uni"/>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3850" cy="323850"/>
                          </a:xfrm>
                          <a:prstGeom prst="rect">
                            <a:avLst/>
                          </a:prstGeom>
                        </pic:spPr>
                      </pic:pic>
                    </a:graphicData>
                  </a:graphic>
                </wp:inline>
              </w:drawing>
            </w:r>
            <w:r>
              <w:rPr>
                <w:i/>
              </w:rPr>
              <w:t xml:space="preserve">ou </w:t>
            </w:r>
            <w:r>
              <w:rPr>
                <w:i/>
                <w:noProof/>
              </w:rPr>
              <w:drawing>
                <wp:inline distT="0" distB="0" distL="0" distR="0" wp14:anchorId="5EBA0998" wp14:editId="17FCC158">
                  <wp:extent cx="365760" cy="365760"/>
                  <wp:effectExtent l="0" t="0" r="0" b="0"/>
                  <wp:docPr id="594676537" name="Graphique 1" descr="Deux hommes avec un remplissage uni"/>
                  <wp:cNvGraphicFramePr/>
                  <a:graphic xmlns:a="http://schemas.openxmlformats.org/drawingml/2006/main">
                    <a:graphicData uri="http://schemas.openxmlformats.org/drawingml/2006/picture">
                      <pic:pic xmlns:pic="http://schemas.openxmlformats.org/drawingml/2006/picture">
                        <pic:nvPicPr>
                          <pic:cNvPr id="594676537" name="Graphique 2" descr="Deux hommes avec un remplissage uni"/>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59410" cy="359410"/>
                          </a:xfrm>
                          <a:prstGeom prst="rect">
                            <a:avLst/>
                          </a:prstGeom>
                        </pic:spPr>
                      </pic:pic>
                    </a:graphicData>
                  </a:graphic>
                </wp:inline>
              </w:drawing>
            </w:r>
          </w:p>
        </w:tc>
        <w:tc>
          <w:tcPr>
            <w:tcW w:w="1276" w:type="dxa"/>
            <w:shd w:val="clear" w:color="auto" w:fill="FFFF00"/>
            <w:vAlign w:val="center"/>
          </w:tcPr>
          <w:p w14:paraId="23D836B9" w14:textId="77777777" w:rsidR="001178B3" w:rsidRPr="008C4F59" w:rsidRDefault="001178B3" w:rsidP="00170516">
            <w:pPr>
              <w:spacing w:before="0"/>
              <w:jc w:val="center"/>
              <w:rPr>
                <w:b/>
                <w:bCs/>
                <w:iCs/>
                <w:sz w:val="20"/>
                <w:szCs w:val="20"/>
              </w:rPr>
            </w:pPr>
            <w:r w:rsidRPr="008C4F59">
              <w:rPr>
                <w:b/>
                <w:bCs/>
                <w:iCs/>
                <w:sz w:val="20"/>
                <w:szCs w:val="20"/>
              </w:rPr>
              <w:t>Source</w:t>
            </w:r>
          </w:p>
        </w:tc>
      </w:tr>
    </w:tbl>
    <w:p w14:paraId="761ED544" w14:textId="77777777" w:rsidR="001178B3" w:rsidRPr="002B324C" w:rsidRDefault="001178B3" w:rsidP="001178B3">
      <w:pPr>
        <w:spacing w:before="240" w:after="120"/>
        <w:rPr>
          <w:rFonts w:cs="Arial"/>
          <w:b/>
          <w:sz w:val="24"/>
          <w:szCs w:val="32"/>
        </w:rPr>
      </w:pPr>
      <w:r w:rsidRPr="002B324C">
        <w:rPr>
          <w:rFonts w:cs="Arial"/>
          <w:b/>
          <w:sz w:val="24"/>
          <w:szCs w:val="32"/>
        </w:rPr>
        <w:t>Travail à faire</w:t>
      </w:r>
    </w:p>
    <w:p w14:paraId="17E87E21" w14:textId="35361A26" w:rsidR="001178B3" w:rsidRPr="002B324C" w:rsidRDefault="001178B3" w:rsidP="001178B3">
      <w:pPr>
        <w:rPr>
          <w:rFonts w:cs="Arial"/>
          <w:bCs/>
        </w:rPr>
      </w:pPr>
      <w:r w:rsidRPr="002B324C">
        <w:rPr>
          <w:rFonts w:cs="Arial"/>
          <w:bCs/>
        </w:rPr>
        <w:t xml:space="preserve">Après avoir lu le </w:t>
      </w:r>
      <w:r w:rsidRPr="001178B3">
        <w:rPr>
          <w:rFonts w:cs="Arial"/>
          <w:b/>
        </w:rPr>
        <w:t>document</w:t>
      </w:r>
      <w:r w:rsidRPr="002B324C">
        <w:rPr>
          <w:rFonts w:cs="Arial"/>
          <w:bCs/>
        </w:rPr>
        <w:t>, répondez aux questions suivantes :</w:t>
      </w:r>
    </w:p>
    <w:p w14:paraId="4D3B652B" w14:textId="77777777" w:rsidR="001178B3" w:rsidRPr="002B324C" w:rsidRDefault="001178B3" w:rsidP="001178B3">
      <w:pPr>
        <w:pStyle w:val="Paragraphedeliste"/>
        <w:numPr>
          <w:ilvl w:val="0"/>
          <w:numId w:val="1"/>
        </w:numPr>
        <w:tabs>
          <w:tab w:val="left" w:pos="7338"/>
          <w:tab w:val="left" w:pos="8347"/>
        </w:tabs>
        <w:rPr>
          <w:bCs/>
        </w:rPr>
      </w:pPr>
      <w:r w:rsidRPr="002B324C">
        <w:rPr>
          <w:bCs/>
        </w:rPr>
        <w:t>Quels sont les faits qui ont conduit au procès ?</w:t>
      </w:r>
    </w:p>
    <w:p w14:paraId="7AA510C3" w14:textId="77777777" w:rsidR="001178B3" w:rsidRPr="002B324C" w:rsidRDefault="001178B3" w:rsidP="001178B3">
      <w:pPr>
        <w:pStyle w:val="Paragraphedeliste"/>
        <w:numPr>
          <w:ilvl w:val="0"/>
          <w:numId w:val="1"/>
        </w:numPr>
        <w:tabs>
          <w:tab w:val="left" w:pos="7338"/>
          <w:tab w:val="left" w:pos="8347"/>
        </w:tabs>
        <w:rPr>
          <w:bCs/>
        </w:rPr>
      </w:pPr>
      <w:r w:rsidRPr="002B324C">
        <w:rPr>
          <w:bCs/>
        </w:rPr>
        <w:t>Quelles sont les causes de la condamnation de la société Eiffage</w:t>
      </w:r>
    </w:p>
    <w:p w14:paraId="2981097E" w14:textId="4DCF1008" w:rsidR="001178B3" w:rsidRPr="002B324C" w:rsidRDefault="001178B3" w:rsidP="001178B3">
      <w:pPr>
        <w:pStyle w:val="Paragraphedeliste"/>
        <w:numPr>
          <w:ilvl w:val="0"/>
          <w:numId w:val="1"/>
        </w:numPr>
        <w:tabs>
          <w:tab w:val="left" w:pos="7338"/>
          <w:tab w:val="left" w:pos="8347"/>
        </w:tabs>
        <w:rPr>
          <w:bCs/>
        </w:rPr>
      </w:pPr>
      <w:r w:rsidRPr="002B324C">
        <w:rPr>
          <w:bCs/>
        </w:rPr>
        <w:t>Quel</w:t>
      </w:r>
      <w:r w:rsidR="00A0532A">
        <w:rPr>
          <w:bCs/>
        </w:rPr>
        <w:t>le</w:t>
      </w:r>
      <w:r w:rsidRPr="002B324C">
        <w:rPr>
          <w:bCs/>
        </w:rPr>
        <w:t xml:space="preserve">s sont les </w:t>
      </w:r>
      <w:r>
        <w:rPr>
          <w:bCs/>
        </w:rPr>
        <w:t>charges</w:t>
      </w:r>
      <w:r w:rsidRPr="002B324C">
        <w:rPr>
          <w:bCs/>
        </w:rPr>
        <w:t xml:space="preserve"> retenu</w:t>
      </w:r>
      <w:r>
        <w:rPr>
          <w:bCs/>
        </w:rPr>
        <w:t>e</w:t>
      </w:r>
      <w:r w:rsidRPr="002B324C">
        <w:rPr>
          <w:bCs/>
        </w:rPr>
        <w:t>s par le tribunal contre la société Eiffage ?</w:t>
      </w:r>
    </w:p>
    <w:p w14:paraId="5655FBF7" w14:textId="77777777" w:rsidR="001178B3" w:rsidRPr="002B324C" w:rsidRDefault="001178B3" w:rsidP="001178B3">
      <w:pPr>
        <w:pStyle w:val="Paragraphedeliste"/>
        <w:numPr>
          <w:ilvl w:val="0"/>
          <w:numId w:val="1"/>
        </w:numPr>
        <w:tabs>
          <w:tab w:val="left" w:pos="7338"/>
          <w:tab w:val="left" w:pos="8347"/>
        </w:tabs>
        <w:rPr>
          <w:bCs/>
        </w:rPr>
      </w:pPr>
      <w:r w:rsidRPr="002B324C">
        <w:rPr>
          <w:bCs/>
        </w:rPr>
        <w:t>Quelle est la condamnation de la société Eiffage ?</w:t>
      </w:r>
    </w:p>
    <w:p w14:paraId="3BB020BA" w14:textId="77777777" w:rsidR="001178B3" w:rsidRPr="005B00C2" w:rsidRDefault="001178B3" w:rsidP="001178B3">
      <w:pPr>
        <w:tabs>
          <w:tab w:val="left" w:pos="7338"/>
          <w:tab w:val="left" w:pos="8347"/>
        </w:tabs>
        <w:ind w:left="113"/>
        <w:rPr>
          <w:b/>
        </w:rPr>
      </w:pPr>
    </w:p>
    <w:p w14:paraId="6EE44BEB" w14:textId="6A166C93" w:rsidR="001178B3" w:rsidRPr="005B00C2" w:rsidRDefault="001178B3" w:rsidP="001178B3">
      <w:pPr>
        <w:rPr>
          <w:b/>
          <w:sz w:val="24"/>
        </w:rPr>
      </w:pPr>
      <w:r w:rsidRPr="002B324C">
        <w:rPr>
          <w:b/>
          <w:color w:val="FFFFFF" w:themeColor="background1"/>
          <w:sz w:val="24"/>
          <w:highlight w:val="red"/>
        </w:rPr>
        <w:t>Doc. </w:t>
      </w:r>
      <w:r w:rsidRPr="002B324C">
        <w:rPr>
          <w:b/>
          <w:color w:val="FFFFFF" w:themeColor="background1"/>
          <w:sz w:val="24"/>
        </w:rPr>
        <w:t xml:space="preserve"> </w:t>
      </w:r>
      <w:r w:rsidRPr="005B00C2">
        <w:rPr>
          <w:b/>
          <w:sz w:val="24"/>
        </w:rPr>
        <w:t>Accident mortel du travail et faute inexcusable Eiffage condamnée</w:t>
      </w:r>
    </w:p>
    <w:p w14:paraId="47417A18" w14:textId="77777777" w:rsidR="001178B3" w:rsidRPr="001178B3" w:rsidRDefault="001178B3" w:rsidP="001178B3">
      <w:pPr>
        <w:spacing w:after="120"/>
        <w:rPr>
          <w:rFonts w:cs="Arial"/>
          <w:i/>
          <w:color w:val="000000"/>
          <w:sz w:val="20"/>
          <w:szCs w:val="18"/>
        </w:rPr>
      </w:pPr>
      <w:r w:rsidRPr="001178B3">
        <w:rPr>
          <w:rFonts w:cs="Arial"/>
          <w:i/>
          <w:sz w:val="20"/>
          <w:szCs w:val="18"/>
        </w:rPr>
        <w:t xml:space="preserve">Source : </w:t>
      </w:r>
      <w:hyperlink r:id="rId9" w:history="1">
        <w:r w:rsidRPr="001178B3">
          <w:rPr>
            <w:rStyle w:val="Lienhypertexte"/>
            <w:rFonts w:cs="Arial"/>
            <w:i/>
            <w:sz w:val="20"/>
            <w:szCs w:val="18"/>
          </w:rPr>
          <w:t>http://www.juritravail.com/</w:t>
        </w:r>
      </w:hyperlink>
      <w:r w:rsidRPr="001178B3">
        <w:rPr>
          <w:rFonts w:cs="Arial"/>
          <w:i/>
          <w:color w:val="000000"/>
          <w:sz w:val="20"/>
          <w:szCs w:val="18"/>
        </w:rPr>
        <w:t xml:space="preserve">  </w:t>
      </w:r>
      <w:r w:rsidRPr="001178B3">
        <w:rPr>
          <w:rFonts w:cs="Arial"/>
          <w:i/>
          <w:sz w:val="20"/>
          <w:szCs w:val="18"/>
        </w:rPr>
        <w:t xml:space="preserve">Par </w:t>
      </w:r>
      <w:hyperlink r:id="rId10" w:history="1">
        <w:r w:rsidRPr="001178B3">
          <w:rPr>
            <w:rStyle w:val="lev"/>
            <w:rFonts w:cs="Arial"/>
            <w:i/>
            <w:sz w:val="20"/>
            <w:szCs w:val="18"/>
          </w:rPr>
          <w:t xml:space="preserve">Renaud </w:t>
        </w:r>
        <w:proofErr w:type="spellStart"/>
        <w:r w:rsidRPr="001178B3">
          <w:rPr>
            <w:rStyle w:val="lev"/>
            <w:rFonts w:cs="Arial"/>
            <w:i/>
            <w:sz w:val="20"/>
            <w:szCs w:val="18"/>
          </w:rPr>
          <w:t>RIALLAND</w:t>
        </w:r>
        <w:proofErr w:type="spellEnd"/>
        <w:r w:rsidRPr="001178B3">
          <w:rPr>
            <w:rStyle w:val="lev"/>
            <w:rFonts w:cs="Arial"/>
            <w:i/>
            <w:sz w:val="20"/>
            <w:szCs w:val="18"/>
          </w:rPr>
          <w:t xml:space="preserve"> </w:t>
        </w:r>
      </w:hyperlink>
    </w:p>
    <w:p w14:paraId="35F5D126" w14:textId="067C9FD3" w:rsidR="001178B3" w:rsidRPr="001178B3" w:rsidRDefault="001178B3" w:rsidP="001178B3">
      <w:pPr>
        <w:rPr>
          <w:rFonts w:cs="Arial"/>
          <w:color w:val="222222"/>
          <w:sz w:val="20"/>
          <w:szCs w:val="18"/>
        </w:rPr>
      </w:pPr>
      <w:r w:rsidRPr="001178B3">
        <w:rPr>
          <w:rFonts w:cs="Arial"/>
          <w:color w:val="222222"/>
          <w:sz w:val="20"/>
          <w:szCs w:val="18"/>
        </w:rPr>
        <w:t>100 000 euros de dommages et intérêts d'indemnisation d'un accident du travail. L'employeur doublement condamné au titre de l'obligation de Sécurité de résultat et de la faute inexcusable par le Tribunal de Sécurité Sociale et les Juridictions pénales.</w:t>
      </w:r>
    </w:p>
    <w:p w14:paraId="32655DE5" w14:textId="77777777" w:rsidR="001178B3" w:rsidRPr="001178B3" w:rsidRDefault="001178B3" w:rsidP="001178B3">
      <w:pPr>
        <w:rPr>
          <w:rFonts w:cs="Arial"/>
          <w:color w:val="222222"/>
          <w:sz w:val="20"/>
          <w:szCs w:val="18"/>
        </w:rPr>
      </w:pPr>
      <w:r w:rsidRPr="001178B3">
        <w:rPr>
          <w:rFonts w:cs="Arial"/>
          <w:color w:val="222222"/>
          <w:sz w:val="20"/>
          <w:szCs w:val="18"/>
        </w:rPr>
        <w:t xml:space="preserve">Cinq ans et demi de procédures, deux procès et, finalement, une condamnation de la société Eiffage Construction Matériel après la mort d'un de ses employés sur un chantier de Charenton en juin 2003. « Cela a été une longue bataille judiciaire, se souvient Maître Renaud </w:t>
      </w:r>
      <w:proofErr w:type="spellStart"/>
      <w:r w:rsidRPr="001178B3">
        <w:rPr>
          <w:rFonts w:cs="Arial"/>
          <w:color w:val="222222"/>
          <w:sz w:val="20"/>
          <w:szCs w:val="18"/>
        </w:rPr>
        <w:t>Rialland</w:t>
      </w:r>
      <w:proofErr w:type="spellEnd"/>
      <w:r w:rsidRPr="001178B3">
        <w:rPr>
          <w:rFonts w:cs="Arial"/>
          <w:color w:val="222222"/>
          <w:sz w:val="20"/>
          <w:szCs w:val="18"/>
        </w:rPr>
        <w:t xml:space="preserve"> du barreau de Paris, mais la famille a été entendue et les négligences de l'entreprise sanctionnées. »</w:t>
      </w:r>
    </w:p>
    <w:p w14:paraId="75CFF1C8" w14:textId="77777777" w:rsidR="001178B3" w:rsidRPr="001178B3" w:rsidRDefault="001178B3" w:rsidP="001178B3">
      <w:pPr>
        <w:rPr>
          <w:rFonts w:cs="Arial"/>
          <w:color w:val="222222"/>
          <w:sz w:val="20"/>
          <w:szCs w:val="18"/>
        </w:rPr>
      </w:pPr>
      <w:r w:rsidRPr="001178B3">
        <w:rPr>
          <w:rFonts w:cs="Arial"/>
          <w:color w:val="222222"/>
          <w:sz w:val="20"/>
          <w:szCs w:val="18"/>
        </w:rPr>
        <w:t>Ce 4 juin 2003, des ouvriers s'affairent sur un chantier entre le quai des Carrières et la Seine, à Charenton. L'un d'entre eux, âgé de 59 ans, spécialiste des petites grues, est en train de travailler sur l'une d'entre elles lorsqu'elle bascule brutalement dans le puits au bord duquel elle se trouvait. Il est éjecté et décède des suites de sa chute.</w:t>
      </w:r>
    </w:p>
    <w:p w14:paraId="457B6C75" w14:textId="77777777" w:rsidR="001178B3" w:rsidRPr="001178B3" w:rsidRDefault="001178B3" w:rsidP="001178B3">
      <w:pPr>
        <w:rPr>
          <w:rFonts w:cs="Arial"/>
          <w:color w:val="222222"/>
          <w:sz w:val="20"/>
          <w:szCs w:val="18"/>
        </w:rPr>
      </w:pPr>
      <w:r w:rsidRPr="001178B3">
        <w:rPr>
          <w:rFonts w:cs="Arial"/>
          <w:color w:val="222222"/>
          <w:sz w:val="20"/>
          <w:szCs w:val="18"/>
        </w:rPr>
        <w:t xml:space="preserve"> « C'était un grand professionnel, unanimement reconnu et apprécié dans la profession, relate Maître </w:t>
      </w:r>
      <w:proofErr w:type="spellStart"/>
      <w:r w:rsidRPr="001178B3">
        <w:rPr>
          <w:rFonts w:cs="Arial"/>
          <w:color w:val="222222"/>
          <w:sz w:val="20"/>
          <w:szCs w:val="18"/>
        </w:rPr>
        <w:t>Rialland</w:t>
      </w:r>
      <w:proofErr w:type="spellEnd"/>
      <w:r w:rsidRPr="001178B3">
        <w:rPr>
          <w:rFonts w:cs="Arial"/>
          <w:color w:val="222222"/>
          <w:sz w:val="20"/>
          <w:szCs w:val="18"/>
        </w:rPr>
        <w:t>, il était à un mois de la retraite et travaillait sur ce chantier malgré un avis médical d'inaptitude délivré six mois plus tôt. » Et c'est, entre autres, sur ce point que l'entreprise a été sanctionnée. « Il y a eu de multiples violations du Code du travail : travail d'un salarié déclaré inapte, pas de seconde visite médicale d'aptitude pourtant obligatoire, pas de formation professionnelle à la sécurité... Dans le cas de ce salarié, après une première visite le déclarant inapte, il n'avait plus le droit de faire des déplacements ni de la manutention, il aurait dû passer la seconde visite et, face à l'inaptitude, l'entreprise aurait dû, à l'issue, lui proposer un poste alternatif. Rien n'a été fait. L'entreprise a totalement ignoré le droit du travail. ».</w:t>
      </w:r>
    </w:p>
    <w:p w14:paraId="2AFCA670" w14:textId="77777777" w:rsidR="001178B3" w:rsidRPr="001178B3" w:rsidRDefault="001178B3" w:rsidP="001178B3">
      <w:pPr>
        <w:rPr>
          <w:rFonts w:cs="Arial"/>
          <w:color w:val="222222"/>
          <w:sz w:val="20"/>
          <w:szCs w:val="18"/>
        </w:rPr>
      </w:pPr>
      <w:r w:rsidRPr="001178B3">
        <w:rPr>
          <w:rFonts w:cs="Arial"/>
          <w:color w:val="222222"/>
          <w:sz w:val="20"/>
          <w:szCs w:val="18"/>
        </w:rPr>
        <w:t>La cour d'appel de Paris vient de rendre un arrêt confirmant la condamnation pénale de la société pour le délit d'homicide involontaire. Outre la condamnation pénale à une amende de 43 000 €, le tribunal des affaires de sécurité sociale de Chartres a également condamné la société au paiement de 100 000 € de dommages et intérêts moraux pour la famille du salarié, avec le doublement de la rente de son épouse en raison de la « faute inexcusable de l'employeur ».</w:t>
      </w:r>
    </w:p>
    <w:p w14:paraId="3989D9AD" w14:textId="77777777" w:rsidR="001178B3" w:rsidRPr="001178B3" w:rsidRDefault="001178B3" w:rsidP="001178B3">
      <w:pPr>
        <w:rPr>
          <w:rFonts w:cs="Arial"/>
          <w:color w:val="222222"/>
          <w:sz w:val="20"/>
          <w:szCs w:val="18"/>
        </w:rPr>
      </w:pPr>
      <w:r w:rsidRPr="001178B3">
        <w:rPr>
          <w:rFonts w:cs="Arial"/>
          <w:color w:val="222222"/>
          <w:sz w:val="20"/>
          <w:szCs w:val="18"/>
        </w:rPr>
        <w:t>Ces condamnations pénales d'entreprises sont rares, malgré la fréquence des accidents mortels, plus de 600 par an sur tout le territoire national.</w:t>
      </w:r>
    </w:p>
    <w:p w14:paraId="25275993" w14:textId="77777777" w:rsidR="00E82321" w:rsidRPr="00B129E4" w:rsidRDefault="00E82321" w:rsidP="000E4374">
      <w:pPr>
        <w:tabs>
          <w:tab w:val="left" w:pos="7338"/>
          <w:tab w:val="left" w:pos="8347"/>
        </w:tabs>
        <w:ind w:left="113"/>
        <w:rPr>
          <w:rFonts w:cs="Arial"/>
          <w:color w:val="222222"/>
          <w:szCs w:val="20"/>
        </w:rPr>
      </w:pPr>
    </w:p>
    <w:p w14:paraId="71A42C59" w14:textId="489B8B27" w:rsidR="00E82321" w:rsidRPr="001178B3" w:rsidRDefault="001178B3" w:rsidP="00E82321">
      <w:pPr>
        <w:rPr>
          <w:rFonts w:cs="Arial"/>
          <w:b/>
          <w:sz w:val="28"/>
          <w:szCs w:val="28"/>
        </w:rPr>
      </w:pPr>
      <w:r>
        <w:rPr>
          <w:rFonts w:cs="Arial"/>
          <w:b/>
          <w:sz w:val="28"/>
          <w:szCs w:val="28"/>
        </w:rPr>
        <w:t>Réponses</w:t>
      </w:r>
    </w:p>
    <w:p w14:paraId="1DC25023" w14:textId="77777777" w:rsidR="00E82321" w:rsidRPr="0083645C" w:rsidRDefault="00E82321" w:rsidP="001178B3">
      <w:pPr>
        <w:pStyle w:val="Paragraphedeliste"/>
        <w:numPr>
          <w:ilvl w:val="0"/>
          <w:numId w:val="2"/>
        </w:numPr>
        <w:tabs>
          <w:tab w:val="left" w:pos="7338"/>
          <w:tab w:val="left" w:pos="8347"/>
        </w:tabs>
        <w:rPr>
          <w:b/>
          <w:sz w:val="24"/>
          <w:szCs w:val="24"/>
        </w:rPr>
      </w:pPr>
      <w:r w:rsidRPr="0083645C">
        <w:rPr>
          <w:b/>
          <w:sz w:val="24"/>
          <w:szCs w:val="24"/>
        </w:rPr>
        <w:t>Quels sont les faits qui ont conduit au procès ?</w:t>
      </w:r>
    </w:p>
    <w:p w14:paraId="42891FCA" w14:textId="77777777" w:rsidR="00E82321" w:rsidRPr="0083645C" w:rsidRDefault="00E82321" w:rsidP="00E82321">
      <w:pPr>
        <w:tabs>
          <w:tab w:val="left" w:pos="7338"/>
          <w:tab w:val="left" w:pos="8347"/>
        </w:tabs>
        <w:rPr>
          <w:b/>
          <w:sz w:val="24"/>
          <w:szCs w:val="24"/>
        </w:rPr>
      </w:pPr>
    </w:p>
    <w:p w14:paraId="21955064" w14:textId="77777777" w:rsidR="00E82321" w:rsidRPr="0083645C" w:rsidRDefault="00E82321" w:rsidP="001178B3">
      <w:pPr>
        <w:pStyle w:val="Paragraphedeliste"/>
        <w:numPr>
          <w:ilvl w:val="0"/>
          <w:numId w:val="2"/>
        </w:numPr>
        <w:tabs>
          <w:tab w:val="left" w:pos="7338"/>
          <w:tab w:val="left" w:pos="8347"/>
        </w:tabs>
        <w:rPr>
          <w:b/>
          <w:sz w:val="24"/>
          <w:szCs w:val="24"/>
        </w:rPr>
      </w:pPr>
      <w:r w:rsidRPr="0083645C">
        <w:rPr>
          <w:b/>
          <w:sz w:val="24"/>
          <w:szCs w:val="24"/>
        </w:rPr>
        <w:t>Quel</w:t>
      </w:r>
      <w:r w:rsidR="00C74657">
        <w:rPr>
          <w:b/>
          <w:sz w:val="24"/>
          <w:szCs w:val="24"/>
        </w:rPr>
        <w:t>le</w:t>
      </w:r>
      <w:r w:rsidRPr="0083645C">
        <w:rPr>
          <w:b/>
          <w:sz w:val="24"/>
          <w:szCs w:val="24"/>
        </w:rPr>
        <w:t>s sont les causes de la condamnation de la société Eiffage</w:t>
      </w:r>
      <w:r w:rsidR="00C74657">
        <w:rPr>
          <w:b/>
          <w:sz w:val="24"/>
          <w:szCs w:val="24"/>
        </w:rPr>
        <w:t> ?</w:t>
      </w:r>
    </w:p>
    <w:p w14:paraId="7839D528" w14:textId="7B8E98A1" w:rsidR="00E82321" w:rsidRDefault="00E82321" w:rsidP="00E82321">
      <w:pPr>
        <w:pStyle w:val="Paragraphedeliste"/>
        <w:rPr>
          <w:b/>
          <w:sz w:val="24"/>
          <w:szCs w:val="24"/>
        </w:rPr>
      </w:pPr>
    </w:p>
    <w:p w14:paraId="288241EA" w14:textId="77777777" w:rsidR="001178B3" w:rsidRPr="0083645C" w:rsidRDefault="001178B3" w:rsidP="00E82321">
      <w:pPr>
        <w:pStyle w:val="Paragraphedeliste"/>
        <w:rPr>
          <w:b/>
          <w:sz w:val="24"/>
          <w:szCs w:val="24"/>
        </w:rPr>
      </w:pPr>
    </w:p>
    <w:p w14:paraId="42DD1E88" w14:textId="429B9B90" w:rsidR="00E82321" w:rsidRPr="0083645C" w:rsidRDefault="00E82321" w:rsidP="001178B3">
      <w:pPr>
        <w:pStyle w:val="Paragraphedeliste"/>
        <w:numPr>
          <w:ilvl w:val="0"/>
          <w:numId w:val="2"/>
        </w:numPr>
        <w:tabs>
          <w:tab w:val="left" w:pos="7338"/>
          <w:tab w:val="left" w:pos="8347"/>
        </w:tabs>
        <w:rPr>
          <w:b/>
          <w:sz w:val="24"/>
          <w:szCs w:val="24"/>
        </w:rPr>
      </w:pPr>
      <w:r w:rsidRPr="0083645C">
        <w:rPr>
          <w:b/>
          <w:sz w:val="24"/>
          <w:szCs w:val="24"/>
        </w:rPr>
        <w:t>Quel</w:t>
      </w:r>
      <w:r w:rsidR="001178B3">
        <w:rPr>
          <w:b/>
          <w:sz w:val="24"/>
          <w:szCs w:val="24"/>
        </w:rPr>
        <w:t>le</w:t>
      </w:r>
      <w:r w:rsidRPr="0083645C">
        <w:rPr>
          <w:b/>
          <w:sz w:val="24"/>
          <w:szCs w:val="24"/>
        </w:rPr>
        <w:t xml:space="preserve">s sont </w:t>
      </w:r>
      <w:r w:rsidR="00E86001" w:rsidRPr="0083645C">
        <w:rPr>
          <w:b/>
          <w:sz w:val="24"/>
          <w:szCs w:val="24"/>
        </w:rPr>
        <w:t xml:space="preserve">les </w:t>
      </w:r>
      <w:r w:rsidR="00E86001">
        <w:rPr>
          <w:b/>
          <w:sz w:val="24"/>
          <w:szCs w:val="24"/>
        </w:rPr>
        <w:t>charges</w:t>
      </w:r>
      <w:r w:rsidR="00E86001" w:rsidRPr="0083645C">
        <w:rPr>
          <w:b/>
          <w:sz w:val="24"/>
          <w:szCs w:val="24"/>
        </w:rPr>
        <w:t xml:space="preserve"> retenues</w:t>
      </w:r>
      <w:r w:rsidRPr="0083645C">
        <w:rPr>
          <w:b/>
          <w:sz w:val="24"/>
          <w:szCs w:val="24"/>
        </w:rPr>
        <w:t xml:space="preserve"> par le tribunal contre la société Eiffage ?</w:t>
      </w:r>
    </w:p>
    <w:p w14:paraId="37E91449" w14:textId="77777777" w:rsidR="00E82321" w:rsidRPr="0083645C" w:rsidRDefault="00E82321" w:rsidP="00E82321">
      <w:pPr>
        <w:tabs>
          <w:tab w:val="left" w:pos="7338"/>
          <w:tab w:val="left" w:pos="8347"/>
        </w:tabs>
        <w:rPr>
          <w:b/>
          <w:sz w:val="24"/>
          <w:szCs w:val="24"/>
        </w:rPr>
      </w:pPr>
    </w:p>
    <w:p w14:paraId="03BBF5F0" w14:textId="77777777" w:rsidR="00E82321" w:rsidRPr="0083645C" w:rsidRDefault="00E82321" w:rsidP="001178B3">
      <w:pPr>
        <w:pStyle w:val="Paragraphedeliste"/>
        <w:numPr>
          <w:ilvl w:val="0"/>
          <w:numId w:val="2"/>
        </w:numPr>
        <w:tabs>
          <w:tab w:val="left" w:pos="7338"/>
          <w:tab w:val="left" w:pos="8347"/>
        </w:tabs>
        <w:rPr>
          <w:b/>
          <w:sz w:val="24"/>
          <w:szCs w:val="24"/>
        </w:rPr>
      </w:pPr>
      <w:r w:rsidRPr="0083645C">
        <w:rPr>
          <w:b/>
          <w:sz w:val="24"/>
          <w:szCs w:val="24"/>
        </w:rPr>
        <w:t>Quelle est la condamnation de la société Eiffage</w:t>
      </w:r>
      <w:r w:rsidR="00C74657">
        <w:rPr>
          <w:b/>
          <w:sz w:val="24"/>
          <w:szCs w:val="24"/>
        </w:rPr>
        <w:t> ?</w:t>
      </w:r>
    </w:p>
    <w:p w14:paraId="5CD69B41" w14:textId="77777777" w:rsidR="00E82321" w:rsidRPr="00E82321" w:rsidRDefault="00E82321" w:rsidP="00E82321">
      <w:pPr>
        <w:tabs>
          <w:tab w:val="left" w:pos="7338"/>
          <w:tab w:val="left" w:pos="8347"/>
        </w:tabs>
        <w:ind w:left="113"/>
        <w:rPr>
          <w:b/>
          <w:sz w:val="24"/>
        </w:rPr>
      </w:pPr>
    </w:p>
    <w:p w14:paraId="300EE6C1" w14:textId="77777777" w:rsidR="000E4374" w:rsidRPr="00B129E4" w:rsidRDefault="000E4374" w:rsidP="000E4374">
      <w:pPr>
        <w:tabs>
          <w:tab w:val="left" w:pos="7338"/>
          <w:tab w:val="left" w:pos="8347"/>
        </w:tabs>
        <w:ind w:left="113"/>
        <w:rPr>
          <w:rFonts w:cs="Arial"/>
          <w:sz w:val="24"/>
        </w:rPr>
      </w:pPr>
    </w:p>
    <w:p w14:paraId="46B7414C" w14:textId="77777777" w:rsidR="005A5630" w:rsidRDefault="005A5630"/>
    <w:sectPr w:rsidR="005A5630" w:rsidSect="001178B3">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F329F"/>
    <w:multiLevelType w:val="hybridMultilevel"/>
    <w:tmpl w:val="5704B140"/>
    <w:lvl w:ilvl="0" w:tplc="3CE8F10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2E3B50FA"/>
    <w:multiLevelType w:val="hybridMultilevel"/>
    <w:tmpl w:val="BA40AE52"/>
    <w:lvl w:ilvl="0" w:tplc="85885020">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60977700">
    <w:abstractNumId w:val="0"/>
  </w:num>
  <w:num w:numId="2" w16cid:durableId="1572231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374"/>
    <w:rsid w:val="000E4374"/>
    <w:rsid w:val="001178B3"/>
    <w:rsid w:val="00170516"/>
    <w:rsid w:val="004A7FC5"/>
    <w:rsid w:val="005A5630"/>
    <w:rsid w:val="0062203B"/>
    <w:rsid w:val="0083645C"/>
    <w:rsid w:val="008C4F59"/>
    <w:rsid w:val="00912A3B"/>
    <w:rsid w:val="00A0532A"/>
    <w:rsid w:val="00AE5C26"/>
    <w:rsid w:val="00C66A07"/>
    <w:rsid w:val="00C74657"/>
    <w:rsid w:val="00E82321"/>
    <w:rsid w:val="00E860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F9CAD"/>
  <w15:chartTrackingRefBased/>
  <w15:docId w15:val="{7DCA1E65-A69A-4A74-B011-B958A9F0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374"/>
    <w:pPr>
      <w:spacing w:before="120" w:after="0" w:line="240" w:lineRule="auto"/>
      <w:jc w:val="both"/>
    </w:pPr>
    <w:rPr>
      <w:rFonts w:ascii="Arial" w:eastAsia="Calibri" w:hAnsi="Arial" w:cs="Times New Roman"/>
    </w:rPr>
  </w:style>
  <w:style w:type="paragraph" w:styleId="Titre2">
    <w:name w:val="heading 2"/>
    <w:basedOn w:val="Normal"/>
    <w:link w:val="Titre2Car"/>
    <w:uiPriority w:val="9"/>
    <w:qFormat/>
    <w:rsid w:val="000E4374"/>
    <w:pPr>
      <w:spacing w:after="120"/>
      <w:outlineLvl w:val="1"/>
    </w:pPr>
    <w:rPr>
      <w:rFonts w:eastAsia="Times New Roman" w:cs="Arial"/>
      <w:b/>
      <w:color w:val="000000"/>
      <w:sz w:val="28"/>
      <w:szCs w:val="20"/>
      <w:lang w:eastAsia="fr-FR"/>
    </w:rPr>
  </w:style>
  <w:style w:type="paragraph" w:styleId="Titre3">
    <w:name w:val="heading 3"/>
    <w:basedOn w:val="Normal"/>
    <w:next w:val="Normal"/>
    <w:link w:val="Titre3Car"/>
    <w:uiPriority w:val="9"/>
    <w:semiHidden/>
    <w:unhideWhenUsed/>
    <w:qFormat/>
    <w:rsid w:val="001178B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E4374"/>
    <w:rPr>
      <w:rFonts w:ascii="Arial" w:eastAsia="Times New Roman" w:hAnsi="Arial" w:cs="Arial"/>
      <w:b/>
      <w:color w:val="000000"/>
      <w:sz w:val="28"/>
      <w:szCs w:val="20"/>
      <w:lang w:eastAsia="fr-FR"/>
    </w:rPr>
  </w:style>
  <w:style w:type="character" w:styleId="Lienhypertexte">
    <w:name w:val="Hyperlink"/>
    <w:uiPriority w:val="99"/>
    <w:unhideWhenUsed/>
    <w:rsid w:val="000E4374"/>
    <w:rPr>
      <w:color w:val="0000FF"/>
      <w:u w:val="single"/>
    </w:rPr>
  </w:style>
  <w:style w:type="character" w:styleId="lev">
    <w:name w:val="Strong"/>
    <w:aliases w:val="a texte"/>
    <w:uiPriority w:val="22"/>
    <w:qFormat/>
    <w:rsid w:val="000E4374"/>
    <w:rPr>
      <w:b/>
      <w:bCs/>
    </w:rPr>
  </w:style>
  <w:style w:type="paragraph" w:styleId="Paragraphedeliste">
    <w:name w:val="List Paragraph"/>
    <w:basedOn w:val="Normal"/>
    <w:uiPriority w:val="34"/>
    <w:qFormat/>
    <w:rsid w:val="000E4374"/>
    <w:pPr>
      <w:ind w:left="720"/>
      <w:contextualSpacing/>
    </w:pPr>
  </w:style>
  <w:style w:type="character" w:customStyle="1" w:styleId="Titre3Car">
    <w:name w:val="Titre 3 Car"/>
    <w:basedOn w:val="Policepardfaut"/>
    <w:link w:val="Titre3"/>
    <w:uiPriority w:val="9"/>
    <w:semiHidden/>
    <w:rsid w:val="001178B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juritravail.com/avocat/maitre-rialland-renaud" TargetMode="External"/><Relationship Id="rId4" Type="http://schemas.openxmlformats.org/officeDocument/2006/relationships/webSettings" Target="webSettings.xml"/><Relationship Id="rId9" Type="http://schemas.openxmlformats.org/officeDocument/2006/relationships/hyperlink" Target="http://www.juritrav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521</Words>
  <Characters>2871</Characters>
  <Application>Microsoft Office Word</Application>
  <DocSecurity>0</DocSecurity>
  <Lines>23</Lines>
  <Paragraphs>6</Paragraphs>
  <ScaleCrop>false</ScaleCrop>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14</cp:revision>
  <dcterms:created xsi:type="dcterms:W3CDTF">2015-09-10T21:15:00Z</dcterms:created>
  <dcterms:modified xsi:type="dcterms:W3CDTF">2023-11-04T22:57:00Z</dcterms:modified>
</cp:coreProperties>
</file>