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04184C" w:rsidRPr="006D456D" w14:paraId="4D3A7423" w14:textId="77777777" w:rsidTr="00BD3098">
        <w:trPr>
          <w:trHeight w:val="386"/>
        </w:trPr>
        <w:tc>
          <w:tcPr>
            <w:tcW w:w="9918" w:type="dxa"/>
            <w:gridSpan w:val="3"/>
            <w:shd w:val="clear" w:color="auto" w:fill="FFFF00"/>
          </w:tcPr>
          <w:p w14:paraId="045F0B20" w14:textId="3EB3F98B" w:rsidR="0004184C" w:rsidRPr="006D456D" w:rsidRDefault="0004184C" w:rsidP="0004184C">
            <w:pPr>
              <w:pStyle w:val="Titre2"/>
              <w:tabs>
                <w:tab w:val="left" w:pos="6970"/>
              </w:tabs>
              <w:spacing w:before="120"/>
              <w:jc w:val="center"/>
              <w:rPr>
                <w:szCs w:val="22"/>
              </w:rPr>
            </w:pPr>
            <w:r w:rsidRPr="006D456D">
              <w:rPr>
                <w:szCs w:val="22"/>
              </w:rPr>
              <w:t xml:space="preserve">Réflexion </w:t>
            </w:r>
            <w:r>
              <w:rPr>
                <w:szCs w:val="22"/>
              </w:rPr>
              <w:t xml:space="preserve">1 </w:t>
            </w:r>
            <w:r w:rsidRPr="006D456D">
              <w:rPr>
                <w:szCs w:val="22"/>
              </w:rPr>
              <w:t xml:space="preserve">- Identifier les </w:t>
            </w:r>
            <w:r>
              <w:rPr>
                <w:szCs w:val="22"/>
              </w:rPr>
              <w:t xml:space="preserve">problèmes de trésorerie </w:t>
            </w:r>
          </w:p>
        </w:tc>
      </w:tr>
      <w:tr w:rsidR="0004184C" w:rsidRPr="00173A63" w14:paraId="0481D3ED" w14:textId="77777777" w:rsidTr="00BD3098">
        <w:trPr>
          <w:trHeight w:val="267"/>
        </w:trPr>
        <w:tc>
          <w:tcPr>
            <w:tcW w:w="1413" w:type="dxa"/>
            <w:shd w:val="clear" w:color="auto" w:fill="FFFF00"/>
            <w:vAlign w:val="center"/>
          </w:tcPr>
          <w:p w14:paraId="56862E51" w14:textId="5DA62FBE" w:rsidR="0004184C" w:rsidRPr="00173A63" w:rsidRDefault="0004184C" w:rsidP="00BD3098">
            <w:pPr>
              <w:jc w:val="center"/>
              <w:rPr>
                <w:i/>
              </w:rPr>
            </w:pPr>
            <w:r w:rsidRPr="00FF0A24">
              <w:rPr>
                <w:b/>
              </w:rPr>
              <w:t>Durée</w:t>
            </w:r>
            <w:r>
              <w:t xml:space="preserve"> : 20’</w:t>
            </w:r>
          </w:p>
        </w:tc>
        <w:tc>
          <w:tcPr>
            <w:tcW w:w="7229" w:type="dxa"/>
            <w:shd w:val="clear" w:color="auto" w:fill="FFFF00"/>
            <w:vAlign w:val="center"/>
          </w:tcPr>
          <w:p w14:paraId="74ABBDD4" w14:textId="09A83274" w:rsidR="0004184C" w:rsidRPr="00173A63" w:rsidRDefault="007F368D" w:rsidP="00BD3098">
            <w:pPr>
              <w:jc w:val="center"/>
              <w:rPr>
                <w:i/>
              </w:rPr>
            </w:pPr>
            <w:r>
              <w:rPr>
                <w:i/>
                <w:noProof/>
              </w:rPr>
              <w:drawing>
                <wp:inline distT="0" distB="0" distL="0" distR="0" wp14:anchorId="41EE281E" wp14:editId="30CC89FD">
                  <wp:extent cx="360000" cy="360000"/>
                  <wp:effectExtent l="0" t="0" r="0" b="2540"/>
                  <wp:docPr id="56740741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60000" cy="360000"/>
                          </a:xfrm>
                          <a:prstGeom prst="rect">
                            <a:avLst/>
                          </a:prstGeom>
                        </pic:spPr>
                      </pic:pic>
                    </a:graphicData>
                  </a:graphic>
                </wp:inline>
              </w:drawing>
            </w:r>
            <w:r>
              <w:rPr>
                <w:i/>
              </w:rPr>
              <w:t xml:space="preserve">ou </w:t>
            </w:r>
            <w:r>
              <w:rPr>
                <w:i/>
                <w:noProof/>
              </w:rPr>
              <w:drawing>
                <wp:inline distT="0" distB="0" distL="0" distR="0" wp14:anchorId="0008EE4F" wp14:editId="20113BFD">
                  <wp:extent cx="360000" cy="360000"/>
                  <wp:effectExtent l="0" t="0" r="0" b="2540"/>
                  <wp:docPr id="59467653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7B9E5723" w14:textId="77777777" w:rsidR="0004184C" w:rsidRPr="006D456D" w:rsidRDefault="0004184C" w:rsidP="00BD3098">
            <w:pPr>
              <w:jc w:val="center"/>
              <w:rPr>
                <w:b/>
                <w:bCs/>
                <w:iCs/>
              </w:rPr>
            </w:pPr>
            <w:r w:rsidRPr="006D456D">
              <w:rPr>
                <w:b/>
                <w:bCs/>
                <w:iCs/>
              </w:rPr>
              <w:t>Source</w:t>
            </w:r>
          </w:p>
        </w:tc>
      </w:tr>
    </w:tbl>
    <w:p w14:paraId="03ABE878" w14:textId="77777777" w:rsidR="0004184C" w:rsidRPr="00D22CEC" w:rsidRDefault="0004184C" w:rsidP="0004184C">
      <w:pPr>
        <w:spacing w:before="240"/>
        <w:rPr>
          <w:b/>
          <w:sz w:val="24"/>
          <w:szCs w:val="28"/>
        </w:rPr>
      </w:pPr>
      <w:r w:rsidRPr="00D22CEC">
        <w:rPr>
          <w:b/>
          <w:sz w:val="24"/>
          <w:szCs w:val="28"/>
        </w:rPr>
        <w:t xml:space="preserve">Travail à faire </w:t>
      </w:r>
    </w:p>
    <w:p w14:paraId="7501EE00" w14:textId="5FC5B95F" w:rsidR="0004184C" w:rsidRPr="00D22CEC" w:rsidRDefault="0004184C" w:rsidP="0004184C">
      <w:pPr>
        <w:spacing w:before="120" w:after="120"/>
        <w:rPr>
          <w:rFonts w:cs="Arial"/>
          <w:bCs/>
        </w:rPr>
      </w:pPr>
      <w:r w:rsidRPr="00D22CEC">
        <w:rPr>
          <w:rFonts w:cs="Arial"/>
          <w:bCs/>
        </w:rPr>
        <w:t xml:space="preserve">Après avoir lu le </w:t>
      </w:r>
      <w:r w:rsidRPr="00D33583">
        <w:rPr>
          <w:rFonts w:cs="Arial"/>
          <w:b/>
        </w:rPr>
        <w:t>document</w:t>
      </w:r>
      <w:r w:rsidRPr="00D22CEC">
        <w:rPr>
          <w:rFonts w:cs="Arial"/>
          <w:bCs/>
        </w:rPr>
        <w:t>, répond</w:t>
      </w:r>
      <w:r>
        <w:rPr>
          <w:rFonts w:cs="Arial"/>
          <w:bCs/>
        </w:rPr>
        <w:t>ez</w:t>
      </w:r>
      <w:r w:rsidRPr="00D22CEC">
        <w:rPr>
          <w:rFonts w:cs="Arial"/>
          <w:bCs/>
        </w:rPr>
        <w:t xml:space="preserve"> aux questions</w:t>
      </w:r>
      <w:r>
        <w:rPr>
          <w:rFonts w:cs="Arial"/>
          <w:bCs/>
        </w:rPr>
        <w:t xml:space="preserve"> suivantes</w:t>
      </w:r>
      <w:r w:rsidRPr="00D22CEC">
        <w:rPr>
          <w:rFonts w:cs="Arial"/>
          <w:bCs/>
        </w:rPr>
        <w:t xml:space="preserve"> : </w:t>
      </w:r>
    </w:p>
    <w:p w14:paraId="66146EDB" w14:textId="77777777" w:rsidR="0004184C" w:rsidRPr="00DC02A1" w:rsidRDefault="0004184C" w:rsidP="0004184C">
      <w:pPr>
        <w:pStyle w:val="Paragraphedeliste"/>
        <w:numPr>
          <w:ilvl w:val="0"/>
          <w:numId w:val="2"/>
        </w:numPr>
        <w:rPr>
          <w:rFonts w:cs="Arial"/>
          <w:bCs/>
        </w:rPr>
      </w:pPr>
      <w:r w:rsidRPr="00DC02A1">
        <w:rPr>
          <w:rFonts w:cs="Arial"/>
          <w:bCs/>
        </w:rPr>
        <w:t>Quel est le problème soulevé par cet article et quel en est la cause ?</w:t>
      </w:r>
    </w:p>
    <w:p w14:paraId="38EDC750" w14:textId="77777777" w:rsidR="0004184C" w:rsidRPr="00D22CEC" w:rsidRDefault="0004184C" w:rsidP="0004184C">
      <w:pPr>
        <w:pStyle w:val="Paragraphedeliste"/>
        <w:numPr>
          <w:ilvl w:val="0"/>
          <w:numId w:val="2"/>
        </w:numPr>
        <w:rPr>
          <w:rFonts w:cs="Arial"/>
          <w:bCs/>
        </w:rPr>
      </w:pPr>
      <w:r w:rsidRPr="00D22CEC">
        <w:rPr>
          <w:rFonts w:cs="Arial"/>
          <w:bCs/>
        </w:rPr>
        <w:t>Quelles en sont les conséquences les plus graves ?</w:t>
      </w:r>
    </w:p>
    <w:p w14:paraId="1504164A" w14:textId="77777777" w:rsidR="0004184C" w:rsidRDefault="0004184C" w:rsidP="0004184C">
      <w:pPr>
        <w:pStyle w:val="Paragraphedeliste"/>
        <w:numPr>
          <w:ilvl w:val="0"/>
          <w:numId w:val="2"/>
        </w:numPr>
        <w:rPr>
          <w:rFonts w:cs="Arial"/>
          <w:bCs/>
        </w:rPr>
      </w:pPr>
      <w:r w:rsidRPr="00D22CEC">
        <w:rPr>
          <w:rFonts w:cs="Arial"/>
          <w:bCs/>
        </w:rPr>
        <w:t xml:space="preserve">Quelles sont les </w:t>
      </w:r>
      <w:r>
        <w:rPr>
          <w:rFonts w:cs="Arial"/>
          <w:bCs/>
        </w:rPr>
        <w:t>solutions préconisées pour réduire ces délais ?</w:t>
      </w:r>
    </w:p>
    <w:p w14:paraId="58D7E0A2" w14:textId="77777777" w:rsidR="0004184C" w:rsidRPr="00D22CEC" w:rsidRDefault="0004184C" w:rsidP="0004184C">
      <w:pPr>
        <w:pStyle w:val="Paragraphedeliste"/>
        <w:numPr>
          <w:ilvl w:val="0"/>
          <w:numId w:val="2"/>
        </w:numPr>
        <w:rPr>
          <w:rFonts w:cs="Arial"/>
          <w:bCs/>
        </w:rPr>
      </w:pPr>
      <w:r w:rsidRPr="006344EE">
        <w:rPr>
          <w:rFonts w:cs="Arial"/>
          <w:bCs/>
        </w:rPr>
        <w:t>Quel</w:t>
      </w:r>
      <w:r>
        <w:rPr>
          <w:rFonts w:cs="Arial"/>
          <w:bCs/>
        </w:rPr>
        <w:t>s</w:t>
      </w:r>
      <w:r w:rsidRPr="006344EE">
        <w:rPr>
          <w:rFonts w:cs="Arial"/>
          <w:bCs/>
        </w:rPr>
        <w:t xml:space="preserve"> </w:t>
      </w:r>
      <w:r>
        <w:rPr>
          <w:rFonts w:cs="Arial"/>
          <w:bCs/>
        </w:rPr>
        <w:t>peuvent être</w:t>
      </w:r>
      <w:r w:rsidRPr="006344EE">
        <w:rPr>
          <w:rFonts w:cs="Arial"/>
          <w:bCs/>
        </w:rPr>
        <w:t xml:space="preserve"> les </w:t>
      </w:r>
      <w:r>
        <w:rPr>
          <w:rFonts w:cs="Arial"/>
          <w:bCs/>
        </w:rPr>
        <w:t>risques</w:t>
      </w:r>
      <w:r w:rsidRPr="006344EE">
        <w:rPr>
          <w:rFonts w:cs="Arial"/>
          <w:bCs/>
        </w:rPr>
        <w:t xml:space="preserve"> dans l'avenir</w:t>
      </w:r>
      <w:r>
        <w:rPr>
          <w:rFonts w:cs="Arial"/>
          <w:bCs/>
        </w:rPr>
        <w:t> ?</w:t>
      </w:r>
    </w:p>
    <w:p w14:paraId="6CD19931" w14:textId="77777777" w:rsidR="0004184C" w:rsidRDefault="0004184C" w:rsidP="0004184C">
      <w:pPr>
        <w:rPr>
          <w:rFonts w:cs="Arial"/>
        </w:rPr>
      </w:pPr>
    </w:p>
    <w:p w14:paraId="3FEECDAF" w14:textId="77777777" w:rsidR="0004184C" w:rsidRPr="00C83DAA" w:rsidRDefault="0004184C" w:rsidP="0004184C">
      <w:pPr>
        <w:rPr>
          <w:rFonts w:cs="Arial"/>
        </w:rPr>
      </w:pPr>
    </w:p>
    <w:p w14:paraId="4755872B" w14:textId="30021F96" w:rsidR="0004184C" w:rsidRPr="00674D2E" w:rsidRDefault="0004184C" w:rsidP="0004184C">
      <w:pPr>
        <w:pStyle w:val="Titre1"/>
        <w:ind w:left="851" w:hanging="851"/>
        <w:jc w:val="left"/>
        <w:rPr>
          <w:rFonts w:ascii="Arial" w:hAnsi="Arial" w:cs="Arial"/>
          <w:color w:val="262626"/>
          <w:sz w:val="24"/>
          <w:szCs w:val="24"/>
          <w:lang w:eastAsia="fr-FR"/>
        </w:rPr>
      </w:pPr>
      <w:r w:rsidRPr="00674D2E">
        <w:rPr>
          <w:rFonts w:ascii="Arial" w:hAnsi="Arial" w:cs="Arial"/>
          <w:b/>
          <w:color w:val="FFFFFF" w:themeColor="background1"/>
          <w:sz w:val="24"/>
          <w:szCs w:val="24"/>
          <w:highlight w:val="red"/>
        </w:rPr>
        <w:t xml:space="preserve">Doc. </w:t>
      </w:r>
      <w:r w:rsidRPr="00674D2E">
        <w:rPr>
          <w:rFonts w:ascii="Arial" w:eastAsia="Times New Roman" w:hAnsi="Arial" w:cs="Arial"/>
          <w:b/>
          <w:color w:val="000000"/>
          <w:sz w:val="24"/>
          <w:szCs w:val="24"/>
          <w:lang w:eastAsia="fr-FR"/>
        </w:rPr>
        <w:t xml:space="preserve"> </w:t>
      </w:r>
      <w:r w:rsidRPr="00674D2E">
        <w:rPr>
          <w:rFonts w:ascii="Arial" w:hAnsi="Arial" w:cs="Arial"/>
          <w:color w:val="262626"/>
          <w:sz w:val="24"/>
          <w:szCs w:val="24"/>
        </w:rPr>
        <w:t>Les retards de paiement vont mettre en danger les entreprises au moment du rebond </w:t>
      </w:r>
    </w:p>
    <w:p w14:paraId="372F593C" w14:textId="77777777" w:rsidR="0004184C" w:rsidRPr="001D5701" w:rsidRDefault="0004184C" w:rsidP="0004184C">
      <w:pPr>
        <w:shd w:val="clear" w:color="auto" w:fill="FFFFFF"/>
        <w:rPr>
          <w:rFonts w:cs="Arial"/>
          <w:i/>
          <w:color w:val="2D2D2D"/>
        </w:rPr>
      </w:pPr>
      <w:r>
        <w:rPr>
          <w:rFonts w:cs="Arial"/>
          <w:i/>
          <w:color w:val="2D2D2D"/>
        </w:rPr>
        <w:t xml:space="preserve">Source : Les échos : </w:t>
      </w:r>
      <w:hyperlink r:id="rId9" w:tgtFrame="_blank" w:history="1">
        <w:r>
          <w:rPr>
            <w:i/>
            <w:color w:val="2D2D2D"/>
          </w:rPr>
          <w:t>Guillaume</w:t>
        </w:r>
      </w:hyperlink>
      <w:r>
        <w:rPr>
          <w:i/>
          <w:color w:val="2D2D2D"/>
        </w:rPr>
        <w:t xml:space="preserve"> de </w:t>
      </w:r>
      <w:proofErr w:type="spellStart"/>
      <w:r>
        <w:rPr>
          <w:i/>
          <w:color w:val="2D2D2D"/>
        </w:rPr>
        <w:t>Calignon</w:t>
      </w:r>
      <w:proofErr w:type="spellEnd"/>
      <w:r>
        <w:rPr>
          <w:rFonts w:cs="Arial"/>
          <w:i/>
          <w:color w:val="2D2D2D"/>
        </w:rPr>
        <w:t xml:space="preserve"> - le 18/02/2021</w:t>
      </w:r>
    </w:p>
    <w:p w14:paraId="2E7F19C1" w14:textId="77777777" w:rsidR="0004184C" w:rsidRPr="00674D2E" w:rsidRDefault="0004184C" w:rsidP="0004184C">
      <w:pPr>
        <w:shd w:val="clear" w:color="auto" w:fill="FFFFFF"/>
        <w:rPr>
          <w:b/>
          <w:bCs/>
          <w:lang w:eastAsia="fr-FR"/>
        </w:rPr>
      </w:pPr>
      <w:r w:rsidRPr="00C83DAA">
        <w:rPr>
          <w:rFonts w:cs="Arial"/>
          <w:color w:val="000000"/>
        </w:rPr>
        <w:br/>
      </w:r>
      <w:r w:rsidRPr="00674D2E">
        <w:rPr>
          <w:b/>
          <w:bCs/>
        </w:rPr>
        <w:t>Le cabinet ARC publie tous les ans un baromètre des délais de paiement entre sociétés. Pour Denis Le Bossé, son président fondateur, la crise a poussé les PME à rallonger leurs délais de paiement ce qui menace au pire moment leur trésorerie.</w:t>
      </w:r>
    </w:p>
    <w:p w14:paraId="5D0BDB7A" w14:textId="77777777" w:rsidR="0004184C" w:rsidRDefault="0004184C" w:rsidP="0004184C"/>
    <w:p w14:paraId="2AEFB369" w14:textId="77777777" w:rsidR="0004184C" w:rsidRPr="00674D2E" w:rsidRDefault="0004184C" w:rsidP="0004184C">
      <w:pPr>
        <w:rPr>
          <w:b/>
          <w:bCs/>
          <w:sz w:val="20"/>
        </w:rPr>
      </w:pPr>
      <w:r w:rsidRPr="00674D2E">
        <w:rPr>
          <w:b/>
          <w:bCs/>
          <w:sz w:val="20"/>
        </w:rPr>
        <w:t>Les délais de paiement se sont-ils beaucoup allongés ces derniers mois ?</w:t>
      </w:r>
    </w:p>
    <w:p w14:paraId="48C27FB0" w14:textId="77777777" w:rsidR="0004184C" w:rsidRPr="00674D2E" w:rsidRDefault="0004184C" w:rsidP="0004184C">
      <w:pPr>
        <w:spacing w:after="120"/>
        <w:rPr>
          <w:sz w:val="20"/>
        </w:rPr>
      </w:pPr>
      <w:r w:rsidRPr="00674D2E">
        <w:rPr>
          <w:sz w:val="20"/>
        </w:rPr>
        <w:t>Nous avions constaté l'an passé une explosion des délais de paiements pour les PME, et il n'y a manifestement aucune amélioration sur ce point. Les délais de règlement des factures dues par les PME se sont allongés, </w:t>
      </w:r>
      <w:r w:rsidRPr="00674D2E">
        <w:rPr>
          <w:b/>
          <w:bCs/>
          <w:sz w:val="20"/>
        </w:rPr>
        <w:t>passant de 10 jours environ au-delà du délai légal à la fin 2019 à 18,6 jours en moyenne fin 2020</w:t>
      </w:r>
      <w:r w:rsidRPr="00674D2E">
        <w:rPr>
          <w:sz w:val="20"/>
        </w:rPr>
        <w:t>. Ce retard n'a pas été réduit depuis. On le comprend : le besoin de garder le cash est vital, ce qui a d'ailleurs instauré un nouveau rapport de force entre PME. A l'inverse,</w:t>
      </w:r>
      <w:r w:rsidRPr="00674D2E">
        <w:rPr>
          <w:b/>
          <w:bCs/>
          <w:sz w:val="20"/>
        </w:rPr>
        <w:t> les grands groupes, eux, ont stabilisé le retard avec lequel ils s'acquittent des factures</w:t>
      </w:r>
      <w:r w:rsidRPr="00674D2E">
        <w:rPr>
          <w:sz w:val="20"/>
        </w:rPr>
        <w:t>. Ce qui est d'ailleurs corroboré par les chiffres de la DGCCRF. Entre septembre 2019 et septembre 2020, les grandes entreprises n'ont représenté que 11 % des amendes pour retard de paiement, contre 38 % pour les PME, le reste étant des entreprises de taille intermédiaire (ETI).</w:t>
      </w:r>
    </w:p>
    <w:p w14:paraId="68A953C8" w14:textId="77777777" w:rsidR="0004184C" w:rsidRPr="00674D2E" w:rsidRDefault="0004184C" w:rsidP="0004184C">
      <w:pPr>
        <w:rPr>
          <w:b/>
          <w:bCs/>
          <w:sz w:val="20"/>
        </w:rPr>
      </w:pPr>
      <w:r w:rsidRPr="00674D2E">
        <w:rPr>
          <w:b/>
          <w:bCs/>
          <w:sz w:val="20"/>
        </w:rPr>
        <w:t>Que faire pour réduire ces délais ?</w:t>
      </w:r>
    </w:p>
    <w:p w14:paraId="43001F7C" w14:textId="77777777" w:rsidR="0004184C" w:rsidRPr="00674D2E" w:rsidRDefault="0004184C" w:rsidP="0004184C">
      <w:pPr>
        <w:rPr>
          <w:sz w:val="20"/>
        </w:rPr>
      </w:pPr>
      <w:r w:rsidRPr="00674D2E">
        <w:rPr>
          <w:sz w:val="20"/>
        </w:rPr>
        <w:t>Première chose,</w:t>
      </w:r>
      <w:r w:rsidRPr="00674D2E">
        <w:rPr>
          <w:b/>
          <w:bCs/>
          <w:sz w:val="20"/>
        </w:rPr>
        <w:t> l'Etat devrait être exemplaire, et ce n'est pas le cas</w:t>
      </w:r>
      <w:r w:rsidRPr="00674D2E">
        <w:rPr>
          <w:sz w:val="20"/>
        </w:rPr>
        <w:t xml:space="preserve">. Le secteur public reste un mauvais payeur, ce qui n'incite pas les PME à répondre aux appels d'offres publics parce qu'elles craignent à 55 % de ne pas être payées à temps, selon le baromètre du cabinet ARC fait par </w:t>
      </w:r>
      <w:proofErr w:type="spellStart"/>
      <w:r w:rsidRPr="00674D2E">
        <w:rPr>
          <w:sz w:val="20"/>
        </w:rPr>
        <w:t>l'Ifop</w:t>
      </w:r>
      <w:proofErr w:type="spellEnd"/>
      <w:r w:rsidRPr="00674D2E">
        <w:rPr>
          <w:sz w:val="20"/>
        </w:rPr>
        <w:t>. Deuxième point, il faut améliorer la prise en compte du comportement de paiement des entreprises dans leur notation par la Banque de France et les assureurs-crédit. </w:t>
      </w:r>
      <w:r w:rsidRPr="00674D2E">
        <w:rPr>
          <w:b/>
          <w:bCs/>
          <w:sz w:val="20"/>
        </w:rPr>
        <w:t>Une entreprise solvable n'est pas nécessairement un bon payeur</w:t>
      </w:r>
      <w:r w:rsidRPr="00674D2E">
        <w:rPr>
          <w:sz w:val="20"/>
        </w:rPr>
        <w:t>. Il devrait même être possible d'instaurer une notation « délais de paiement » pour toutes les entreprises. Troisième sujet, il ressort de notre baromètre que </w:t>
      </w:r>
      <w:r w:rsidRPr="00674D2E">
        <w:rPr>
          <w:b/>
          <w:bCs/>
          <w:sz w:val="20"/>
        </w:rPr>
        <w:t>les entreprises plébiscitent la prise en compte obligatoire des délais de paiement clients-fournisseurs dans le rapport annuel RSE des entreprises</w:t>
      </w:r>
      <w:r w:rsidRPr="00674D2E">
        <w:rPr>
          <w:sz w:val="20"/>
        </w:rPr>
        <w:t>.</w:t>
      </w:r>
    </w:p>
    <w:p w14:paraId="76C4AD3D" w14:textId="77777777" w:rsidR="0004184C" w:rsidRPr="00674D2E" w:rsidRDefault="0004184C" w:rsidP="0004184C">
      <w:pPr>
        <w:spacing w:before="120"/>
        <w:rPr>
          <w:b/>
          <w:bCs/>
          <w:sz w:val="20"/>
        </w:rPr>
      </w:pPr>
      <w:r w:rsidRPr="00674D2E">
        <w:rPr>
          <w:b/>
          <w:bCs/>
          <w:sz w:val="20"/>
        </w:rPr>
        <w:t>Êtes-vous inquiet pour les prochains mois ?</w:t>
      </w:r>
    </w:p>
    <w:p w14:paraId="7236EB27" w14:textId="77777777" w:rsidR="0004184C" w:rsidRPr="00674D2E" w:rsidRDefault="0004184C" w:rsidP="0004184C">
      <w:pPr>
        <w:rPr>
          <w:sz w:val="20"/>
        </w:rPr>
      </w:pPr>
      <w:r w:rsidRPr="00674D2E">
        <w:rPr>
          <w:sz w:val="20"/>
        </w:rPr>
        <w:t>L'allongement des délais de paiement est directement lié à la situation financière des PME. Et </w:t>
      </w:r>
      <w:r w:rsidRPr="00674D2E">
        <w:rPr>
          <w:b/>
          <w:bCs/>
          <w:sz w:val="20"/>
        </w:rPr>
        <w:t>s'il n'est pas supérieur à ce qu'il est aujourd'hui, c'est grâce aux prêts garantis par l'Etat (</w:t>
      </w:r>
      <w:hyperlink r:id="rId10" w:history="1">
        <w:r w:rsidRPr="00674D2E">
          <w:rPr>
            <w:sz w:val="20"/>
          </w:rPr>
          <w:t>PGE</w:t>
        </w:r>
      </w:hyperlink>
      <w:r w:rsidRPr="00674D2E">
        <w:rPr>
          <w:b/>
          <w:bCs/>
          <w:sz w:val="20"/>
        </w:rPr>
        <w:t>)</w:t>
      </w:r>
      <w:r w:rsidRPr="00674D2E">
        <w:rPr>
          <w:sz w:val="20"/>
        </w:rPr>
        <w:t> et aux autres mesures d'urgence. Mais quand l'économie va repartir, les entreprises qui ont déjà consommé leur PGE vont devoir trouver d'autres sources de financement pour amorcer le redémarrage. </w:t>
      </w:r>
      <w:r w:rsidRPr="00674D2E">
        <w:rPr>
          <w:b/>
          <w:bCs/>
          <w:sz w:val="20"/>
        </w:rPr>
        <w:t>C'est au moment du rebond que le danger se trouve pour les PME, car il va leur falloir de la trésorerie</w:t>
      </w:r>
      <w:r w:rsidRPr="00674D2E">
        <w:rPr>
          <w:sz w:val="20"/>
        </w:rPr>
        <w:t>. Or ces sources alternatives de financement sont plus chères. L'</w:t>
      </w:r>
      <w:hyperlink r:id="rId11" w:history="1">
        <w:r w:rsidRPr="00674D2E">
          <w:rPr>
            <w:sz w:val="20"/>
          </w:rPr>
          <w:t>affacturage</w:t>
        </w:r>
      </w:hyperlink>
      <w:r w:rsidRPr="00674D2E">
        <w:rPr>
          <w:sz w:val="20"/>
        </w:rPr>
        <w:t> présente par exemple un coût structurellement trop élevé pour les PME. On note aussi, sur le terrain, un désengagement croissant des assureurs-crédit, qui ont pourtant bénéficié d'un soutien public dès le printemps dernier. Tous ces phénomènes fragilisent les entreprises et obèrent donc la reprise, ce qui va mécaniquement entraîner un nouvel allongement des délais de paiement et des dépôts de bilan.</w:t>
      </w:r>
    </w:p>
    <w:p w14:paraId="496E6CBF" w14:textId="77777777" w:rsidR="00861A3E" w:rsidRDefault="00861A3E" w:rsidP="0004184C">
      <w:pPr>
        <w:rPr>
          <w:b/>
          <w:bCs/>
          <w:sz w:val="20"/>
        </w:rPr>
      </w:pPr>
    </w:p>
    <w:p w14:paraId="65B01F87" w14:textId="77777777" w:rsidR="00861A3E" w:rsidRDefault="00861A3E" w:rsidP="0004184C">
      <w:pPr>
        <w:rPr>
          <w:b/>
          <w:bCs/>
          <w:sz w:val="20"/>
        </w:rPr>
      </w:pPr>
    </w:p>
    <w:p w14:paraId="6391CE81" w14:textId="77777777" w:rsidR="00861A3E" w:rsidRDefault="00861A3E" w:rsidP="0004184C">
      <w:pPr>
        <w:rPr>
          <w:b/>
          <w:bCs/>
          <w:sz w:val="20"/>
        </w:rPr>
      </w:pPr>
    </w:p>
    <w:p w14:paraId="156A9505" w14:textId="4FE4DF7E" w:rsidR="0004184C" w:rsidRPr="00861A3E" w:rsidRDefault="0004184C" w:rsidP="0004184C">
      <w:pPr>
        <w:rPr>
          <w:rFonts w:cs="Arial"/>
          <w:b/>
          <w:sz w:val="24"/>
          <w:szCs w:val="20"/>
        </w:rPr>
      </w:pPr>
      <w:r w:rsidRPr="00861A3E">
        <w:rPr>
          <w:rFonts w:cs="Arial"/>
          <w:b/>
          <w:sz w:val="24"/>
          <w:szCs w:val="20"/>
        </w:rPr>
        <w:t>Travail à faire</w:t>
      </w:r>
    </w:p>
    <w:p w14:paraId="34E38DD9" w14:textId="77777777" w:rsidR="0004184C" w:rsidRPr="00861A3E" w:rsidRDefault="0004184C" w:rsidP="0004184C">
      <w:pPr>
        <w:rPr>
          <w:rFonts w:cs="Arial"/>
          <w:b/>
          <w:sz w:val="24"/>
          <w:szCs w:val="20"/>
        </w:rPr>
      </w:pPr>
    </w:p>
    <w:p w14:paraId="18C59E0B" w14:textId="6B787383" w:rsidR="0004184C" w:rsidRPr="00861A3E" w:rsidRDefault="0004184C" w:rsidP="0004184C">
      <w:pPr>
        <w:rPr>
          <w:rFonts w:cs="Arial"/>
          <w:b/>
          <w:sz w:val="24"/>
          <w:szCs w:val="20"/>
        </w:rPr>
      </w:pPr>
      <w:r w:rsidRPr="00861A3E">
        <w:rPr>
          <w:rFonts w:cs="Arial"/>
          <w:b/>
          <w:sz w:val="24"/>
          <w:szCs w:val="20"/>
        </w:rPr>
        <w:t xml:space="preserve">Après avoir lu le document 1, répondez aux questions  suivantes : </w:t>
      </w:r>
    </w:p>
    <w:p w14:paraId="704CC829" w14:textId="77777777" w:rsidR="0004184C" w:rsidRPr="00861A3E" w:rsidRDefault="0004184C" w:rsidP="0004184C">
      <w:pPr>
        <w:rPr>
          <w:rFonts w:cs="Arial"/>
          <w:b/>
          <w:sz w:val="24"/>
          <w:szCs w:val="20"/>
        </w:rPr>
      </w:pPr>
    </w:p>
    <w:p w14:paraId="4CA7C7A0" w14:textId="77777777" w:rsidR="0004184C" w:rsidRPr="00861A3E" w:rsidRDefault="0004184C" w:rsidP="0004184C">
      <w:pPr>
        <w:pStyle w:val="Paragraphedeliste"/>
        <w:numPr>
          <w:ilvl w:val="0"/>
          <w:numId w:val="3"/>
        </w:numPr>
        <w:rPr>
          <w:rFonts w:cs="Arial"/>
          <w:b/>
          <w:sz w:val="24"/>
          <w:szCs w:val="20"/>
        </w:rPr>
      </w:pPr>
      <w:r w:rsidRPr="00861A3E">
        <w:rPr>
          <w:rFonts w:cs="Arial"/>
          <w:b/>
          <w:sz w:val="24"/>
          <w:szCs w:val="20"/>
        </w:rPr>
        <w:t>Quel est le problème soulevé par cet article et quelle en est la cause ?</w:t>
      </w:r>
    </w:p>
    <w:p w14:paraId="5BA23358" w14:textId="77777777" w:rsidR="0004184C" w:rsidRPr="00861A3E" w:rsidRDefault="0004184C" w:rsidP="0004184C">
      <w:pPr>
        <w:rPr>
          <w:rFonts w:cs="Arial"/>
          <w:b/>
          <w:sz w:val="24"/>
          <w:szCs w:val="20"/>
        </w:rPr>
      </w:pPr>
    </w:p>
    <w:p w14:paraId="1114BA12" w14:textId="77777777" w:rsidR="0004184C" w:rsidRPr="00861A3E" w:rsidRDefault="0004184C" w:rsidP="0004184C">
      <w:pPr>
        <w:pStyle w:val="NormalWeb"/>
        <w:shd w:val="clear" w:color="auto" w:fill="FFFFFF"/>
        <w:spacing w:before="0" w:beforeAutospacing="0" w:after="0" w:afterAutospacing="0"/>
        <w:rPr>
          <w:rFonts w:cs="Arial"/>
          <w:b/>
          <w:szCs w:val="22"/>
        </w:rPr>
      </w:pPr>
    </w:p>
    <w:p w14:paraId="633305A6" w14:textId="77777777" w:rsidR="0004184C" w:rsidRPr="00861A3E" w:rsidRDefault="0004184C" w:rsidP="0004184C">
      <w:pPr>
        <w:pStyle w:val="Paragraphedeliste"/>
        <w:numPr>
          <w:ilvl w:val="0"/>
          <w:numId w:val="3"/>
        </w:numPr>
        <w:rPr>
          <w:rFonts w:cs="Arial"/>
          <w:b/>
          <w:sz w:val="24"/>
          <w:szCs w:val="20"/>
        </w:rPr>
      </w:pPr>
      <w:r w:rsidRPr="00861A3E">
        <w:rPr>
          <w:rFonts w:cs="Arial"/>
          <w:b/>
          <w:sz w:val="24"/>
          <w:szCs w:val="20"/>
        </w:rPr>
        <w:lastRenderedPageBreak/>
        <w:t>Quelles en sont les conséquences les plus graves ?</w:t>
      </w:r>
    </w:p>
    <w:p w14:paraId="376CAB97" w14:textId="77777777" w:rsidR="0004184C" w:rsidRPr="00861A3E" w:rsidRDefault="0004184C" w:rsidP="0004184C">
      <w:pPr>
        <w:rPr>
          <w:rFonts w:cs="Arial"/>
          <w:b/>
          <w:sz w:val="24"/>
          <w:szCs w:val="20"/>
        </w:rPr>
      </w:pPr>
    </w:p>
    <w:p w14:paraId="0B7C3896" w14:textId="77777777" w:rsidR="0004184C" w:rsidRPr="00861A3E" w:rsidRDefault="0004184C" w:rsidP="0004184C">
      <w:pPr>
        <w:pStyle w:val="NormalWeb"/>
        <w:shd w:val="clear" w:color="auto" w:fill="FFFFFF"/>
        <w:spacing w:before="0" w:beforeAutospacing="0" w:after="0" w:afterAutospacing="0"/>
        <w:rPr>
          <w:rFonts w:ascii="Arial" w:hAnsi="Arial" w:cs="Arial"/>
          <w:b/>
          <w:iCs/>
          <w:szCs w:val="22"/>
          <w:highlight w:val="yellow"/>
        </w:rPr>
      </w:pPr>
    </w:p>
    <w:p w14:paraId="3793831F" w14:textId="77777777" w:rsidR="0004184C" w:rsidRPr="00861A3E" w:rsidRDefault="0004184C" w:rsidP="0004184C">
      <w:pPr>
        <w:pStyle w:val="Paragraphedeliste"/>
        <w:numPr>
          <w:ilvl w:val="0"/>
          <w:numId w:val="3"/>
        </w:numPr>
        <w:rPr>
          <w:rFonts w:cs="Arial"/>
          <w:b/>
          <w:sz w:val="24"/>
          <w:szCs w:val="20"/>
        </w:rPr>
      </w:pPr>
      <w:r w:rsidRPr="00861A3E">
        <w:rPr>
          <w:rFonts w:cs="Arial"/>
          <w:b/>
          <w:sz w:val="24"/>
          <w:szCs w:val="20"/>
        </w:rPr>
        <w:t>Quelles sont les solutions préconisées pour réduire ces délais ?</w:t>
      </w:r>
    </w:p>
    <w:p w14:paraId="311A11AE" w14:textId="77777777" w:rsidR="0004184C" w:rsidRPr="00861A3E" w:rsidRDefault="0004184C" w:rsidP="0004184C">
      <w:pPr>
        <w:rPr>
          <w:rFonts w:cs="Arial"/>
          <w:sz w:val="24"/>
          <w:szCs w:val="20"/>
        </w:rPr>
      </w:pPr>
    </w:p>
    <w:p w14:paraId="6EB32D27" w14:textId="77777777" w:rsidR="0004184C" w:rsidRPr="00861A3E" w:rsidRDefault="0004184C" w:rsidP="0004184C">
      <w:pPr>
        <w:rPr>
          <w:sz w:val="24"/>
          <w:szCs w:val="20"/>
        </w:rPr>
      </w:pPr>
    </w:p>
    <w:p w14:paraId="6AD81798" w14:textId="77777777" w:rsidR="0004184C" w:rsidRPr="00861A3E" w:rsidRDefault="0004184C" w:rsidP="0004184C">
      <w:pPr>
        <w:rPr>
          <w:sz w:val="24"/>
          <w:szCs w:val="20"/>
        </w:rPr>
      </w:pPr>
    </w:p>
    <w:p w14:paraId="7F0E07BE" w14:textId="69C1B3C0" w:rsidR="0004184C" w:rsidRPr="00861A3E" w:rsidRDefault="0004184C" w:rsidP="0004184C">
      <w:pPr>
        <w:pStyle w:val="Paragraphedeliste"/>
        <w:numPr>
          <w:ilvl w:val="0"/>
          <w:numId w:val="3"/>
        </w:numPr>
        <w:rPr>
          <w:rFonts w:cs="Arial"/>
          <w:b/>
          <w:sz w:val="24"/>
          <w:szCs w:val="20"/>
        </w:rPr>
      </w:pPr>
      <w:r w:rsidRPr="00861A3E">
        <w:rPr>
          <w:rFonts w:cs="Arial"/>
          <w:b/>
          <w:sz w:val="24"/>
          <w:szCs w:val="20"/>
        </w:rPr>
        <w:t>Quels peuvent être les risques dans l'avenir ?</w:t>
      </w:r>
    </w:p>
    <w:p w14:paraId="584C0905" w14:textId="77777777" w:rsidR="0004184C" w:rsidRPr="00861A3E" w:rsidRDefault="0004184C" w:rsidP="0004184C">
      <w:pPr>
        <w:rPr>
          <w:sz w:val="24"/>
          <w:szCs w:val="20"/>
        </w:rPr>
      </w:pPr>
    </w:p>
    <w:p w14:paraId="0500DBDE" w14:textId="77777777" w:rsidR="0004184C" w:rsidRPr="006344EE" w:rsidRDefault="0004184C" w:rsidP="0004184C">
      <w:pPr>
        <w:pStyle w:val="NormalWeb"/>
        <w:shd w:val="clear" w:color="auto" w:fill="FFFFFF"/>
        <w:spacing w:before="0" w:beforeAutospacing="0" w:after="0" w:afterAutospacing="0"/>
        <w:rPr>
          <w:rFonts w:ascii="Arial" w:hAnsi="Arial" w:cs="Arial"/>
          <w:b/>
          <w:iCs/>
          <w:sz w:val="28"/>
          <w:highlight w:val="yellow"/>
        </w:rPr>
      </w:pPr>
    </w:p>
    <w:p w14:paraId="0CFF7F1C" w14:textId="77777777" w:rsidR="0004184C" w:rsidRPr="009B21CE" w:rsidRDefault="0004184C" w:rsidP="0004184C">
      <w:pPr>
        <w:rPr>
          <w:sz w:val="26"/>
        </w:rPr>
      </w:pPr>
    </w:p>
    <w:p w14:paraId="0D27CEC9" w14:textId="77777777" w:rsidR="008216FC" w:rsidRPr="009B21CE" w:rsidRDefault="008216FC">
      <w:pPr>
        <w:rPr>
          <w:sz w:val="26"/>
        </w:rPr>
      </w:pPr>
    </w:p>
    <w:sectPr w:rsidR="008216FC" w:rsidRPr="009B21CE" w:rsidSect="00E92190">
      <w:pgSz w:w="11906" w:h="16838"/>
      <w:pgMar w:top="851" w:right="70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89D580B"/>
    <w:multiLevelType w:val="hybridMultilevel"/>
    <w:tmpl w:val="CB18EF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A8A627D"/>
    <w:multiLevelType w:val="hybridMultilevel"/>
    <w:tmpl w:val="2D3480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2570971"/>
    <w:multiLevelType w:val="hybridMultilevel"/>
    <w:tmpl w:val="D44603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54C2812"/>
    <w:multiLevelType w:val="hybridMultilevel"/>
    <w:tmpl w:val="D730DEB6"/>
    <w:lvl w:ilvl="0" w:tplc="1CAEC02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3477837">
    <w:abstractNumId w:val="0"/>
  </w:num>
  <w:num w:numId="2" w16cid:durableId="888224352">
    <w:abstractNumId w:val="2"/>
  </w:num>
  <w:num w:numId="3" w16cid:durableId="349769465">
    <w:abstractNumId w:val="4"/>
  </w:num>
  <w:num w:numId="4" w16cid:durableId="1788044613">
    <w:abstractNumId w:val="1"/>
  </w:num>
  <w:num w:numId="5" w16cid:durableId="832187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10"/>
    <w:rsid w:val="0004184C"/>
    <w:rsid w:val="0016447C"/>
    <w:rsid w:val="005F7A10"/>
    <w:rsid w:val="00736619"/>
    <w:rsid w:val="007F368D"/>
    <w:rsid w:val="008216FC"/>
    <w:rsid w:val="00861A3E"/>
    <w:rsid w:val="009B21CE"/>
    <w:rsid w:val="00D33583"/>
    <w:rsid w:val="00D52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9C6F"/>
  <w15:chartTrackingRefBased/>
  <w15:docId w15:val="{316CFE6B-E437-4973-A253-9EA86BF5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10"/>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0418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5F7A10"/>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qFormat/>
    <w:rsid w:val="005F7A10"/>
    <w:pPr>
      <w:numPr>
        <w:numId w:val="1"/>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F7A10"/>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5F7A10"/>
    <w:rPr>
      <w:rFonts w:ascii="Arial" w:eastAsia="Times New Roman" w:hAnsi="Arial" w:cs="Arial"/>
      <w:b/>
      <w:color w:val="000000"/>
      <w:sz w:val="24"/>
      <w:szCs w:val="20"/>
      <w:lang w:eastAsia="fr-FR"/>
    </w:rPr>
  </w:style>
  <w:style w:type="paragraph" w:styleId="NormalWeb">
    <w:name w:val="Normal (Web)"/>
    <w:basedOn w:val="Normal"/>
    <w:uiPriority w:val="99"/>
    <w:rsid w:val="005F7A10"/>
    <w:pPr>
      <w:spacing w:before="100" w:beforeAutospacing="1" w:after="100" w:afterAutospacing="1"/>
    </w:pPr>
    <w:rPr>
      <w:rFonts w:ascii="Times New Roman" w:eastAsia="Times New Roman" w:hAnsi="Times New Roman"/>
      <w:sz w:val="24"/>
      <w:szCs w:val="24"/>
      <w:lang w:eastAsia="fr-FR"/>
    </w:rPr>
  </w:style>
  <w:style w:type="paragraph" w:styleId="Paragraphedeliste">
    <w:name w:val="List Paragraph"/>
    <w:basedOn w:val="Normal"/>
    <w:uiPriority w:val="99"/>
    <w:qFormat/>
    <w:rsid w:val="005F7A10"/>
    <w:pPr>
      <w:ind w:left="720"/>
      <w:contextualSpacing/>
    </w:pPr>
  </w:style>
  <w:style w:type="character" w:styleId="Accentuation">
    <w:name w:val="Emphasis"/>
    <w:basedOn w:val="Policepardfaut"/>
    <w:uiPriority w:val="20"/>
    <w:qFormat/>
    <w:rsid w:val="005F7A10"/>
    <w:rPr>
      <w:i/>
      <w:iCs/>
    </w:rPr>
  </w:style>
  <w:style w:type="character" w:customStyle="1" w:styleId="Titre1Car">
    <w:name w:val="Titre 1 Car"/>
    <w:basedOn w:val="Policepardfaut"/>
    <w:link w:val="Titre1"/>
    <w:uiPriority w:val="9"/>
    <w:rsid w:val="000418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business.lesechos.fr/entrepreneurs/gestion-finance/0603846196202-affacturage-lancement-d-un-dispositif-inedit-de-financement-des-commandes-339511.php" TargetMode="External"/><Relationship Id="rId5" Type="http://schemas.openxmlformats.org/officeDocument/2006/relationships/image" Target="media/image1.png"/><Relationship Id="rId10" Type="http://schemas.openxmlformats.org/officeDocument/2006/relationships/hyperlink" Target="https://business.lesechos.fr/entrepreneurs/gestion-finance/17126156-pret-garanti-par-l-tat-quelle-option-choisir-au-bout-d-un-an-342306.php" TargetMode="External"/><Relationship Id="rId4" Type="http://schemas.openxmlformats.org/officeDocument/2006/relationships/webSettings" Target="webSettings.xml"/><Relationship Id="rId9" Type="http://schemas.openxmlformats.org/officeDocument/2006/relationships/hyperlink" Target="http://www.lesechos.fr/journalistes/index.php?id=221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3684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2015-12-11T08:41:00Z</dcterms:created>
  <dcterms:modified xsi:type="dcterms:W3CDTF">2023-10-19T18:39:00Z</dcterms:modified>
</cp:coreProperties>
</file>