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527"/>
        <w:gridCol w:w="6407"/>
        <w:gridCol w:w="2065"/>
      </w:tblGrid>
      <w:tr w:rsidR="00D76402" w:rsidRPr="009C64F3" w14:paraId="46FFF6CC" w14:textId="77777777" w:rsidTr="00BD3098">
        <w:trPr>
          <w:trHeight w:val="386"/>
        </w:trPr>
        <w:tc>
          <w:tcPr>
            <w:tcW w:w="7934" w:type="dxa"/>
            <w:gridSpan w:val="2"/>
            <w:shd w:val="clear" w:color="auto" w:fill="92D050"/>
            <w:vAlign w:val="center"/>
          </w:tcPr>
          <w:p w14:paraId="4284F338" w14:textId="77777777" w:rsidR="00D76402" w:rsidRPr="00D76402" w:rsidRDefault="00D76402" w:rsidP="00BD3098">
            <w:pPr>
              <w:pStyle w:val="Titre3"/>
              <w:jc w:val="center"/>
              <w:rPr>
                <w:rFonts w:ascii="Arial" w:hAnsi="Arial" w:cs="Arial"/>
                <w:b/>
                <w:bCs/>
                <w:sz w:val="28"/>
                <w:szCs w:val="22"/>
              </w:rPr>
            </w:pPr>
            <w:r w:rsidRPr="00D76402">
              <w:rPr>
                <w:rFonts w:ascii="Arial" w:hAnsi="Arial" w:cs="Arial"/>
                <w:b/>
                <w:bCs/>
                <w:sz w:val="28"/>
                <w:szCs w:val="22"/>
              </w:rPr>
              <w:t>Mission 1 – Résoudre des problèmes de trésorerie</w:t>
            </w:r>
          </w:p>
        </w:tc>
        <w:tc>
          <w:tcPr>
            <w:tcW w:w="2065" w:type="dxa"/>
            <w:shd w:val="clear" w:color="auto" w:fill="92D050"/>
          </w:tcPr>
          <w:p w14:paraId="01737FF1" w14:textId="77777777" w:rsidR="00D76402" w:rsidRPr="009C64F3" w:rsidRDefault="00D76402" w:rsidP="00BD3098">
            <w:pPr>
              <w:pStyle w:val="Titre3"/>
              <w:rPr>
                <w:sz w:val="28"/>
                <w:szCs w:val="28"/>
              </w:rPr>
            </w:pPr>
            <w:r>
              <w:rPr>
                <w:noProof/>
              </w:rPr>
              <w:drawing>
                <wp:inline distT="0" distB="0" distL="0" distR="0" wp14:anchorId="0A994BFE" wp14:editId="360508E5">
                  <wp:extent cx="1224000" cy="674355"/>
                  <wp:effectExtent l="0" t="0" r="0" b="0"/>
                  <wp:docPr id="6" name="Image 6" descr="Une image contenant texte, extérieur,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extérieur, vél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000" cy="674355"/>
                          </a:xfrm>
                          <a:prstGeom prst="rect">
                            <a:avLst/>
                          </a:prstGeom>
                        </pic:spPr>
                      </pic:pic>
                    </a:graphicData>
                  </a:graphic>
                </wp:inline>
              </w:drawing>
            </w:r>
          </w:p>
        </w:tc>
      </w:tr>
      <w:tr w:rsidR="00D76402" w:rsidRPr="002A26A7" w14:paraId="1C2DC357" w14:textId="77777777" w:rsidTr="00BD3098">
        <w:trPr>
          <w:trHeight w:val="504"/>
        </w:trPr>
        <w:tc>
          <w:tcPr>
            <w:tcW w:w="1527" w:type="dxa"/>
            <w:shd w:val="clear" w:color="auto" w:fill="92D050"/>
            <w:vAlign w:val="center"/>
          </w:tcPr>
          <w:p w14:paraId="64ABDD6E" w14:textId="77777777" w:rsidR="00D76402" w:rsidRPr="008D1343" w:rsidRDefault="00D76402" w:rsidP="00BD3098">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10’  </w:t>
            </w:r>
          </w:p>
        </w:tc>
        <w:tc>
          <w:tcPr>
            <w:tcW w:w="6407" w:type="dxa"/>
            <w:shd w:val="clear" w:color="auto" w:fill="92D050"/>
            <w:vAlign w:val="center"/>
          </w:tcPr>
          <w:p w14:paraId="305AAACA" w14:textId="4070A341" w:rsidR="00D76402" w:rsidRPr="002A26A7" w:rsidRDefault="00330F99" w:rsidP="00BD3098">
            <w:pPr>
              <w:jc w:val="center"/>
              <w:rPr>
                <w:rFonts w:cs="Arial"/>
                <w:color w:val="000000" w:themeColor="text1"/>
              </w:rPr>
            </w:pPr>
            <w:r>
              <w:rPr>
                <w:i/>
                <w:noProof/>
              </w:rPr>
              <w:drawing>
                <wp:inline distT="0" distB="0" distL="0" distR="0" wp14:anchorId="3C33CC34" wp14:editId="2A2DCDB2">
                  <wp:extent cx="360000" cy="360000"/>
                  <wp:effectExtent l="0" t="0" r="0" b="2540"/>
                  <wp:docPr id="56740741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rPr>
                <w:i/>
              </w:rPr>
              <w:t xml:space="preserve">ou </w:t>
            </w:r>
            <w:r>
              <w:rPr>
                <w:i/>
                <w:noProof/>
              </w:rPr>
              <w:drawing>
                <wp:inline distT="0" distB="0" distL="0" distR="0" wp14:anchorId="3A38E13C" wp14:editId="33257DC9">
                  <wp:extent cx="360000" cy="360000"/>
                  <wp:effectExtent l="0" t="0" r="0" b="2540"/>
                  <wp:docPr id="59467653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065" w:type="dxa"/>
            <w:shd w:val="clear" w:color="auto" w:fill="92D050"/>
            <w:vAlign w:val="center"/>
          </w:tcPr>
          <w:p w14:paraId="2156DB74" w14:textId="77777777" w:rsidR="00D76402" w:rsidRPr="002A26A7" w:rsidRDefault="00D76402" w:rsidP="00BD3098">
            <w:pPr>
              <w:jc w:val="center"/>
              <w:rPr>
                <w:rFonts w:cs="Arial"/>
                <w:color w:val="000000" w:themeColor="text1"/>
              </w:rPr>
            </w:pPr>
            <w:r w:rsidRPr="002A26A7">
              <w:rPr>
                <w:rFonts w:cs="Arial"/>
                <w:color w:val="000000" w:themeColor="text1"/>
              </w:rPr>
              <w:t>Source</w:t>
            </w:r>
          </w:p>
        </w:tc>
      </w:tr>
    </w:tbl>
    <w:p w14:paraId="22AB9E0C" w14:textId="77777777" w:rsidR="00D76402" w:rsidRDefault="00D76402" w:rsidP="00D76402">
      <w:pPr>
        <w:rPr>
          <w:rFonts w:cs="Arial"/>
          <w:b/>
          <w:szCs w:val="18"/>
        </w:rPr>
      </w:pPr>
    </w:p>
    <w:p w14:paraId="1B3DFFC2" w14:textId="77777777" w:rsidR="00CA009C" w:rsidRPr="00822EC4" w:rsidRDefault="00CA009C" w:rsidP="00CA009C">
      <w:pPr>
        <w:rPr>
          <w:rFonts w:cs="Arial"/>
          <w:b/>
          <w:sz w:val="24"/>
        </w:rPr>
      </w:pPr>
      <w:r w:rsidRPr="00822EC4">
        <w:rPr>
          <w:rFonts w:cs="Arial"/>
          <w:b/>
          <w:sz w:val="24"/>
        </w:rPr>
        <w:t>Contexte professionnel</w:t>
      </w:r>
    </w:p>
    <w:p w14:paraId="348978EA" w14:textId="77777777" w:rsidR="00CA009C" w:rsidRPr="00CA009C" w:rsidRDefault="00CA009C" w:rsidP="00CA009C">
      <w:pPr>
        <w:spacing w:before="120"/>
        <w:rPr>
          <w:sz w:val="20"/>
          <w:szCs w:val="20"/>
        </w:rPr>
      </w:pPr>
      <w:r w:rsidRPr="00CA009C">
        <w:rPr>
          <w:sz w:val="20"/>
          <w:szCs w:val="20"/>
        </w:rPr>
        <w:t>Crazy-Bike a été créé en 2017 à Annecy par Hélène Lemoury. La société est spécialisée dans la vente, la location et l'entretien de cycles. Elle propose des vélos électriques, des vélos pliants, des vélos urbains confort et sportif, des vélos cargos, des vélos enfants, des vélos de route, des VTT, des VTC et des accessoires pour vélo (habillement, casque, protection, etc.)</w:t>
      </w:r>
    </w:p>
    <w:p w14:paraId="18F06EC5" w14:textId="77777777" w:rsidR="00CA009C" w:rsidRPr="00CA009C" w:rsidRDefault="00CA009C" w:rsidP="00CA009C">
      <w:pPr>
        <w:spacing w:before="120"/>
        <w:rPr>
          <w:sz w:val="20"/>
          <w:szCs w:val="20"/>
        </w:rPr>
      </w:pPr>
      <w:r w:rsidRPr="00CA009C">
        <w:rPr>
          <w:sz w:val="20"/>
          <w:szCs w:val="20"/>
        </w:rPr>
        <w:t>Depuis sa création l'entreprise connaît un grand succès lié à l'explosion des ventes de vélos électriques utilisés en milieu urbain. Depuis 2020 l’activité croit de façon importante et M</w:t>
      </w:r>
      <w:r w:rsidRPr="00CA009C">
        <w:rPr>
          <w:sz w:val="20"/>
          <w:szCs w:val="20"/>
          <w:vertAlign w:val="superscript"/>
        </w:rPr>
        <w:t>me</w:t>
      </w:r>
      <w:r w:rsidRPr="00CA009C">
        <w:rPr>
          <w:sz w:val="20"/>
          <w:szCs w:val="20"/>
        </w:rPr>
        <w:t xml:space="preserve"> Lemoury a ouvert plusieurs magasins dans la région Auvergne-Rhône-Alpes et en Suisse (Genève et Lausanne). Chaque magasin est indépendant et tient une comptabilité autonome.</w:t>
      </w:r>
    </w:p>
    <w:p w14:paraId="5AD63329" w14:textId="77777777" w:rsidR="00CA009C" w:rsidRPr="00CA009C" w:rsidRDefault="00CA009C" w:rsidP="00CA009C">
      <w:pPr>
        <w:spacing w:before="120" w:after="120"/>
        <w:rPr>
          <w:sz w:val="20"/>
          <w:szCs w:val="20"/>
        </w:rPr>
      </w:pPr>
      <w:r w:rsidRPr="00CA009C">
        <w:rPr>
          <w:sz w:val="20"/>
          <w:szCs w:val="20"/>
        </w:rPr>
        <w:t>La société a reçu un avis de rejet de paiement de la banque CIC pour un chèque émis par M</w:t>
      </w:r>
      <w:r w:rsidRPr="00CA009C">
        <w:rPr>
          <w:sz w:val="20"/>
          <w:szCs w:val="20"/>
          <w:vertAlign w:val="superscript"/>
        </w:rPr>
        <w:t>me</w:t>
      </w:r>
      <w:r w:rsidRPr="00CA009C">
        <w:rPr>
          <w:sz w:val="20"/>
          <w:szCs w:val="20"/>
        </w:rPr>
        <w:t xml:space="preserve"> Lemoury de 1 320 € le 1</w:t>
      </w:r>
      <w:r w:rsidRPr="00CA009C">
        <w:rPr>
          <w:sz w:val="20"/>
          <w:szCs w:val="20"/>
          <w:vertAlign w:val="superscript"/>
        </w:rPr>
        <w:t>er</w:t>
      </w:r>
      <w:r w:rsidRPr="00CA009C">
        <w:rPr>
          <w:sz w:val="20"/>
          <w:szCs w:val="20"/>
        </w:rPr>
        <w:t xml:space="preserve"> avril. Il correspond à l’achat d’un ordinateur portable. M</w:t>
      </w:r>
      <w:r w:rsidRPr="00CA009C">
        <w:rPr>
          <w:sz w:val="20"/>
          <w:szCs w:val="20"/>
          <w:vertAlign w:val="superscript"/>
        </w:rPr>
        <w:t>me</w:t>
      </w:r>
      <w:r w:rsidRPr="00CA009C">
        <w:rPr>
          <w:sz w:val="20"/>
          <w:szCs w:val="20"/>
        </w:rPr>
        <w:t xml:space="preserve"> Lemoury est surprise car elle a vérifié le solde du compte banque avant de réaliser l’achat et celui-ci affichait un solde positif de 1 188,85 €.</w:t>
      </w:r>
    </w:p>
    <w:p w14:paraId="4A105B7F" w14:textId="77777777" w:rsidR="00CA009C" w:rsidRDefault="00CA009C" w:rsidP="00CA009C">
      <w:pPr>
        <w:spacing w:after="120"/>
        <w:rPr>
          <w:b/>
          <w:bCs/>
          <w:sz w:val="24"/>
          <w:szCs w:val="28"/>
        </w:rPr>
      </w:pPr>
      <w:r w:rsidRPr="006F15B7">
        <w:rPr>
          <w:b/>
          <w:bCs/>
          <w:sz w:val="24"/>
          <w:szCs w:val="28"/>
        </w:rPr>
        <w:t>Travail à faire</w:t>
      </w:r>
    </w:p>
    <w:p w14:paraId="7092F9F7" w14:textId="77777777" w:rsidR="00CA009C" w:rsidRPr="00CA009C" w:rsidRDefault="00CA009C" w:rsidP="00CA009C">
      <w:pPr>
        <w:pStyle w:val="Paragraphedeliste"/>
        <w:numPr>
          <w:ilvl w:val="0"/>
          <w:numId w:val="5"/>
        </w:numPr>
        <w:ind w:left="284" w:hanging="284"/>
        <w:rPr>
          <w:sz w:val="20"/>
          <w:szCs w:val="20"/>
        </w:rPr>
      </w:pPr>
      <w:r w:rsidRPr="00CA009C">
        <w:rPr>
          <w:sz w:val="20"/>
          <w:szCs w:val="20"/>
        </w:rPr>
        <w:t>Analysez les relevés de comptes et d’opérations qui vous sont transmis (</w:t>
      </w:r>
      <w:r w:rsidRPr="00CA009C">
        <w:rPr>
          <w:b/>
          <w:bCs/>
          <w:sz w:val="20"/>
          <w:szCs w:val="20"/>
        </w:rPr>
        <w:t>documents 1 et 2</w:t>
      </w:r>
      <w:r w:rsidRPr="00CA009C">
        <w:rPr>
          <w:sz w:val="20"/>
          <w:szCs w:val="20"/>
        </w:rPr>
        <w:t>) et expliquez à M</w:t>
      </w:r>
      <w:r w:rsidRPr="00CA009C">
        <w:rPr>
          <w:sz w:val="20"/>
          <w:szCs w:val="20"/>
          <w:vertAlign w:val="superscript"/>
        </w:rPr>
        <w:t>me</w:t>
      </w:r>
      <w:r w:rsidRPr="00CA009C">
        <w:rPr>
          <w:sz w:val="20"/>
          <w:szCs w:val="20"/>
        </w:rPr>
        <w:t xml:space="preserve"> Lemoury la source du problème et du rejet du paiement.</w:t>
      </w:r>
    </w:p>
    <w:p w14:paraId="518C68F9" w14:textId="77777777" w:rsidR="00CA009C" w:rsidRPr="00CA009C" w:rsidRDefault="00CA009C" w:rsidP="00CA009C">
      <w:pPr>
        <w:pStyle w:val="Paragraphedeliste"/>
        <w:numPr>
          <w:ilvl w:val="0"/>
          <w:numId w:val="5"/>
        </w:numPr>
        <w:ind w:left="284" w:hanging="284"/>
        <w:rPr>
          <w:sz w:val="20"/>
          <w:szCs w:val="20"/>
        </w:rPr>
      </w:pPr>
      <w:r w:rsidRPr="00CA009C">
        <w:rPr>
          <w:sz w:val="20"/>
          <w:szCs w:val="20"/>
        </w:rPr>
        <w:t>Proposez une solution à M</w:t>
      </w:r>
      <w:r w:rsidRPr="00CA009C">
        <w:rPr>
          <w:sz w:val="20"/>
          <w:szCs w:val="20"/>
          <w:vertAlign w:val="superscript"/>
        </w:rPr>
        <w:t>me</w:t>
      </w:r>
      <w:r w:rsidRPr="00CA009C">
        <w:rPr>
          <w:sz w:val="20"/>
          <w:szCs w:val="20"/>
        </w:rPr>
        <w:t xml:space="preserve"> Lemoury qui permettrait d’éviter ce type de problème.</w:t>
      </w:r>
    </w:p>
    <w:p w14:paraId="12A3F632" w14:textId="77777777" w:rsidR="00CA009C" w:rsidRDefault="00CA009C" w:rsidP="00CA009C">
      <w:pPr>
        <w:pStyle w:val="Paragraphedeliste"/>
        <w:ind w:left="360"/>
        <w:rPr>
          <w:b/>
          <w:bCs/>
        </w:rPr>
      </w:pPr>
    </w:p>
    <w:p w14:paraId="3728988F" w14:textId="77777777" w:rsidR="00CA009C" w:rsidRDefault="00CA009C" w:rsidP="00CA009C">
      <w:pPr>
        <w:pStyle w:val="Paragraphedeliste"/>
        <w:ind w:left="360"/>
        <w:rPr>
          <w:b/>
          <w:bCs/>
        </w:rPr>
      </w:pPr>
    </w:p>
    <w:p w14:paraId="2B7168DD" w14:textId="77777777" w:rsidR="00CA009C" w:rsidRPr="00460FA0" w:rsidRDefault="00CA009C" w:rsidP="00CA009C">
      <w:pPr>
        <w:pStyle w:val="Paragraphedeliste"/>
        <w:ind w:left="360"/>
        <w:rPr>
          <w:b/>
          <w:bCs/>
        </w:rPr>
      </w:pPr>
    </w:p>
    <w:p w14:paraId="38D0A1A1" w14:textId="77777777" w:rsidR="00CA009C" w:rsidRPr="00460FA0" w:rsidRDefault="00CA009C" w:rsidP="00CA009C">
      <w:pPr>
        <w:rPr>
          <w:b/>
          <w:bCs/>
        </w:rPr>
      </w:pPr>
    </w:p>
    <w:p w14:paraId="36D571EF" w14:textId="77777777" w:rsidR="00CA009C" w:rsidRPr="00CA009C" w:rsidRDefault="00CA009C" w:rsidP="00CA009C">
      <w:pPr>
        <w:rPr>
          <w:sz w:val="20"/>
          <w:szCs w:val="20"/>
        </w:rPr>
      </w:pPr>
      <w:r w:rsidRPr="00CA009C">
        <w:rPr>
          <w:sz w:val="20"/>
          <w:szCs w:val="20"/>
        </w:rPr>
        <w:t>La société doit réaliser un règlement de 3 823 € au fournisseur Cyclable au cours de la première semaine du mois d'avril. La situation financière ne permet pas de réaliser ce règlement. M</w:t>
      </w:r>
      <w:r w:rsidRPr="00CA009C">
        <w:rPr>
          <w:sz w:val="20"/>
          <w:szCs w:val="20"/>
          <w:vertAlign w:val="superscript"/>
        </w:rPr>
        <w:t>me</w:t>
      </w:r>
      <w:r w:rsidRPr="00CA009C">
        <w:rPr>
          <w:sz w:val="20"/>
          <w:szCs w:val="20"/>
        </w:rPr>
        <w:t xml:space="preserve"> Lemoury vous demande d'envoyer un courrier à la société Cyclable pour la prévenir que le règlement ne pourra pas être fait au cours de la première semaine du mois d'avril mais sera réalisé au cours de la 2</w:t>
      </w:r>
      <w:r w:rsidRPr="00CA009C">
        <w:rPr>
          <w:sz w:val="20"/>
          <w:szCs w:val="20"/>
          <w:vertAlign w:val="superscript"/>
        </w:rPr>
        <w:t>e</w:t>
      </w:r>
      <w:r w:rsidRPr="00CA009C">
        <w:rPr>
          <w:sz w:val="20"/>
          <w:szCs w:val="20"/>
        </w:rPr>
        <w:t xml:space="preserve"> semaine du mois d'avril.</w:t>
      </w:r>
    </w:p>
    <w:p w14:paraId="3580AC80" w14:textId="77777777" w:rsidR="00CA009C" w:rsidRPr="00CA009C" w:rsidRDefault="00CA009C" w:rsidP="00CA009C">
      <w:pPr>
        <w:rPr>
          <w:b/>
          <w:bCs/>
          <w:sz w:val="20"/>
          <w:szCs w:val="20"/>
        </w:rPr>
      </w:pPr>
    </w:p>
    <w:p w14:paraId="246679B4" w14:textId="77777777" w:rsidR="00CA009C" w:rsidRDefault="00CA009C" w:rsidP="00CA009C">
      <w:pPr>
        <w:rPr>
          <w:b/>
          <w:bCs/>
          <w:sz w:val="24"/>
          <w:szCs w:val="28"/>
        </w:rPr>
      </w:pPr>
      <w:r w:rsidRPr="006F15B7">
        <w:rPr>
          <w:b/>
          <w:bCs/>
          <w:sz w:val="24"/>
          <w:szCs w:val="28"/>
        </w:rPr>
        <w:t>Travail à faire</w:t>
      </w:r>
    </w:p>
    <w:p w14:paraId="0A57A1A5" w14:textId="77777777" w:rsidR="00CA009C" w:rsidRPr="00CA009C" w:rsidRDefault="00CA009C" w:rsidP="00CA009C">
      <w:pPr>
        <w:pStyle w:val="Paragraphedeliste"/>
        <w:numPr>
          <w:ilvl w:val="0"/>
          <w:numId w:val="5"/>
        </w:numPr>
        <w:spacing w:before="120"/>
        <w:ind w:left="284" w:hanging="284"/>
        <w:rPr>
          <w:sz w:val="20"/>
          <w:szCs w:val="20"/>
        </w:rPr>
      </w:pPr>
      <w:r w:rsidRPr="00CA009C">
        <w:rPr>
          <w:sz w:val="20"/>
          <w:szCs w:val="20"/>
        </w:rPr>
        <w:t>Rédigez le courrier à envoyer à la société Cyclable.</w:t>
      </w:r>
    </w:p>
    <w:p w14:paraId="5EE0F3B5" w14:textId="77777777" w:rsidR="00CA009C" w:rsidRDefault="00CA009C" w:rsidP="00CA009C"/>
    <w:p w14:paraId="76F24C81" w14:textId="77777777" w:rsidR="00CA009C" w:rsidRDefault="00CA009C" w:rsidP="00CA009C"/>
    <w:p w14:paraId="486DE454" w14:textId="77777777" w:rsidR="00CA009C" w:rsidRDefault="00CA009C" w:rsidP="00CA009C"/>
    <w:p w14:paraId="3ADD40E9" w14:textId="77777777" w:rsidR="00CA009C" w:rsidRDefault="00CA009C" w:rsidP="00CA009C">
      <w:r>
        <w:rPr>
          <w:noProof/>
        </w:rPr>
        <w:drawing>
          <wp:anchor distT="0" distB="0" distL="114300" distR="114300" simplePos="0" relativeHeight="251659264" behindDoc="0" locked="0" layoutInCell="1" allowOverlap="1" wp14:anchorId="1C851E08" wp14:editId="39DDCB69">
            <wp:simplePos x="0" y="0"/>
            <wp:positionH relativeFrom="column">
              <wp:posOffset>4036060</wp:posOffset>
            </wp:positionH>
            <wp:positionV relativeFrom="paragraph">
              <wp:posOffset>106680</wp:posOffset>
            </wp:positionV>
            <wp:extent cx="2272665" cy="1234440"/>
            <wp:effectExtent l="0" t="0" r="0" b="3810"/>
            <wp:wrapSquare wrapText="bothSides"/>
            <wp:docPr id="10" name="Image 10" descr="Une image contenant vélo, transport, mot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vélo, transport, mot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2665" cy="1234440"/>
                    </a:xfrm>
                    <a:prstGeom prst="rect">
                      <a:avLst/>
                    </a:prstGeom>
                  </pic:spPr>
                </pic:pic>
              </a:graphicData>
            </a:graphic>
            <wp14:sizeRelH relativeFrom="margin">
              <wp14:pctWidth>0</wp14:pctWidth>
            </wp14:sizeRelH>
            <wp14:sizeRelV relativeFrom="margin">
              <wp14:pctHeight>0</wp14:pctHeight>
            </wp14:sizeRelV>
          </wp:anchor>
        </w:drawing>
      </w:r>
    </w:p>
    <w:p w14:paraId="550FEEAE" w14:textId="77777777" w:rsidR="00CA009C" w:rsidRPr="00CA009C" w:rsidRDefault="00CA009C" w:rsidP="00CA009C">
      <w:pPr>
        <w:rPr>
          <w:sz w:val="20"/>
          <w:szCs w:val="20"/>
        </w:rPr>
      </w:pPr>
      <w:r w:rsidRPr="00CA009C">
        <w:rPr>
          <w:sz w:val="20"/>
          <w:szCs w:val="20"/>
        </w:rPr>
        <w:t>La société Crazy bike est l'importateur exclusif pour la France des vélos produits par l’entreprise danoise (</w:t>
      </w:r>
      <w:proofErr w:type="spellStart"/>
      <w:r w:rsidRPr="00CA009C">
        <w:rPr>
          <w:sz w:val="20"/>
          <w:szCs w:val="20"/>
        </w:rPr>
        <w:t>Principia</w:t>
      </w:r>
      <w:proofErr w:type="spellEnd"/>
      <w:r w:rsidRPr="00CA009C">
        <w:rPr>
          <w:sz w:val="20"/>
          <w:szCs w:val="20"/>
        </w:rPr>
        <w:t xml:space="preserve"> Bikes). Ce sont des VTTS électrique de la gamme GROMMY. </w:t>
      </w:r>
    </w:p>
    <w:p w14:paraId="5F44605A" w14:textId="77777777" w:rsidR="00CA009C" w:rsidRPr="00CA009C" w:rsidRDefault="00CA009C" w:rsidP="00CA009C">
      <w:pPr>
        <w:spacing w:before="120" w:after="120"/>
        <w:rPr>
          <w:sz w:val="20"/>
          <w:szCs w:val="20"/>
        </w:rPr>
      </w:pPr>
      <w:r w:rsidRPr="00CA009C">
        <w:rPr>
          <w:sz w:val="20"/>
          <w:szCs w:val="20"/>
        </w:rPr>
        <w:t xml:space="preserve">Le client </w:t>
      </w:r>
      <w:proofErr w:type="spellStart"/>
      <w:r w:rsidRPr="00CA009C">
        <w:rPr>
          <w:b/>
          <w:bCs/>
          <w:sz w:val="20"/>
          <w:szCs w:val="20"/>
        </w:rPr>
        <w:t>Mandovelo</w:t>
      </w:r>
      <w:proofErr w:type="spellEnd"/>
      <w:r w:rsidRPr="00CA009C">
        <w:rPr>
          <w:b/>
          <w:bCs/>
          <w:sz w:val="20"/>
          <w:szCs w:val="20"/>
        </w:rPr>
        <w:t xml:space="preserve">, </w:t>
      </w:r>
      <w:r w:rsidRPr="00CA009C">
        <w:rPr>
          <w:sz w:val="20"/>
          <w:szCs w:val="20"/>
        </w:rPr>
        <w:t>achète 60 % des importations réalisées. Il représente une part  significative du chiffre d’affaires de la société pour ce type de vélo. Son responsable des achats a contacté M</w:t>
      </w:r>
      <w:r w:rsidRPr="00CA009C">
        <w:rPr>
          <w:sz w:val="20"/>
          <w:szCs w:val="20"/>
          <w:vertAlign w:val="superscript"/>
        </w:rPr>
        <w:t>me</w:t>
      </w:r>
      <w:r w:rsidRPr="00CA009C">
        <w:rPr>
          <w:sz w:val="20"/>
          <w:szCs w:val="20"/>
        </w:rPr>
        <w:t xml:space="preserve"> Lemoury pour demander que les achats soient dorénavant payés de la façon suivante : 50 % à 30 jours fin de mois et 50 % à 60 jours fin de mois.</w:t>
      </w:r>
    </w:p>
    <w:p w14:paraId="5D31400C" w14:textId="77777777" w:rsidR="00CA009C" w:rsidRDefault="00CA009C" w:rsidP="00CA009C">
      <w:pPr>
        <w:rPr>
          <w:b/>
          <w:bCs/>
          <w:sz w:val="24"/>
          <w:szCs w:val="28"/>
        </w:rPr>
      </w:pPr>
      <w:r w:rsidRPr="006F15B7">
        <w:rPr>
          <w:b/>
          <w:bCs/>
          <w:sz w:val="24"/>
          <w:szCs w:val="28"/>
        </w:rPr>
        <w:t>Travail à faire</w:t>
      </w:r>
    </w:p>
    <w:p w14:paraId="45730704" w14:textId="77777777" w:rsidR="00CA009C" w:rsidRPr="00CA009C" w:rsidRDefault="00CA009C" w:rsidP="00CA009C">
      <w:pPr>
        <w:pStyle w:val="Paragraphedeliste"/>
        <w:numPr>
          <w:ilvl w:val="0"/>
          <w:numId w:val="5"/>
        </w:numPr>
        <w:spacing w:before="120"/>
        <w:ind w:left="284" w:hanging="284"/>
        <w:rPr>
          <w:sz w:val="20"/>
          <w:szCs w:val="20"/>
        </w:rPr>
      </w:pPr>
      <w:r w:rsidRPr="00CA009C">
        <w:rPr>
          <w:sz w:val="20"/>
          <w:szCs w:val="20"/>
        </w:rPr>
        <w:t>Analysez la situation et proposez une solution à M</w:t>
      </w:r>
      <w:r w:rsidRPr="00CA009C">
        <w:rPr>
          <w:sz w:val="20"/>
          <w:szCs w:val="20"/>
          <w:vertAlign w:val="superscript"/>
        </w:rPr>
        <w:t>me</w:t>
      </w:r>
      <w:r w:rsidRPr="00CA009C">
        <w:rPr>
          <w:sz w:val="20"/>
          <w:szCs w:val="20"/>
        </w:rPr>
        <w:t xml:space="preserve"> Lemoury à partir des informations qui vous sont remises dans le </w:t>
      </w:r>
      <w:r w:rsidRPr="00CA009C">
        <w:rPr>
          <w:b/>
          <w:bCs/>
          <w:sz w:val="20"/>
          <w:szCs w:val="20"/>
        </w:rPr>
        <w:t>document 3</w:t>
      </w:r>
      <w:r w:rsidRPr="00CA009C">
        <w:rPr>
          <w:sz w:val="20"/>
          <w:szCs w:val="20"/>
        </w:rPr>
        <w:t>.</w:t>
      </w:r>
    </w:p>
    <w:p w14:paraId="68E10B8D" w14:textId="77777777" w:rsidR="00CA009C" w:rsidRPr="00CA009C" w:rsidRDefault="00CA009C" w:rsidP="00CA009C">
      <w:pPr>
        <w:rPr>
          <w:sz w:val="20"/>
          <w:szCs w:val="20"/>
        </w:rPr>
      </w:pPr>
    </w:p>
    <w:p w14:paraId="58674AB6" w14:textId="77777777" w:rsidR="00D76402" w:rsidRDefault="00D76402" w:rsidP="00D76402"/>
    <w:p w14:paraId="04C4A2FF" w14:textId="77777777" w:rsidR="00CA009C" w:rsidRDefault="00CA009C" w:rsidP="00D76402"/>
    <w:p w14:paraId="5307412E" w14:textId="77777777" w:rsidR="00CA009C" w:rsidRDefault="00CA009C" w:rsidP="00D76402"/>
    <w:p w14:paraId="6CD48380" w14:textId="77777777" w:rsidR="00CA009C" w:rsidRDefault="00CA009C" w:rsidP="00D76402"/>
    <w:p w14:paraId="4FC5CD01" w14:textId="77777777" w:rsidR="00CA009C" w:rsidRDefault="00CA009C" w:rsidP="00D76402"/>
    <w:p w14:paraId="7ACDAD8D" w14:textId="77777777" w:rsidR="00CA009C" w:rsidRDefault="00CA009C" w:rsidP="00D76402"/>
    <w:p w14:paraId="0DAA13A5" w14:textId="77777777" w:rsidR="00D76402" w:rsidRDefault="00D76402" w:rsidP="00D76402"/>
    <w:p w14:paraId="5CAACFD8" w14:textId="77777777" w:rsidR="00CA009C" w:rsidRDefault="00D76402" w:rsidP="00CA009C">
      <w:pPr>
        <w:spacing w:before="240"/>
        <w:rPr>
          <w:b/>
          <w:bCs/>
          <w:sz w:val="24"/>
          <w:szCs w:val="28"/>
        </w:rPr>
      </w:pPr>
      <w:r w:rsidRPr="004A198E">
        <w:rPr>
          <w:b/>
          <w:bCs/>
          <w:color w:val="FFFFFF" w:themeColor="background1"/>
          <w:sz w:val="24"/>
          <w:szCs w:val="28"/>
          <w:highlight w:val="red"/>
        </w:rPr>
        <w:lastRenderedPageBreak/>
        <w:t>Doc. 1 </w:t>
      </w:r>
      <w:r w:rsidRPr="004A198E">
        <w:rPr>
          <w:b/>
          <w:bCs/>
          <w:color w:val="FFFFFF" w:themeColor="background1"/>
          <w:sz w:val="24"/>
          <w:szCs w:val="28"/>
        </w:rPr>
        <w:t xml:space="preserve"> </w:t>
      </w:r>
      <w:r w:rsidRPr="004A198E">
        <w:rPr>
          <w:b/>
          <w:bCs/>
          <w:sz w:val="24"/>
          <w:szCs w:val="28"/>
        </w:rPr>
        <w:t xml:space="preserve">Compte </w:t>
      </w:r>
      <w:r>
        <w:rPr>
          <w:b/>
          <w:bCs/>
          <w:sz w:val="24"/>
          <w:szCs w:val="28"/>
        </w:rPr>
        <w:t xml:space="preserve">512 </w:t>
      </w:r>
      <w:r w:rsidRPr="004A198E">
        <w:rPr>
          <w:b/>
          <w:bCs/>
          <w:sz w:val="24"/>
          <w:szCs w:val="28"/>
        </w:rPr>
        <w:t>banque</w:t>
      </w:r>
    </w:p>
    <w:p w14:paraId="54496383" w14:textId="3F87ED63" w:rsidR="00D76402" w:rsidRDefault="00D76402" w:rsidP="00CA009C">
      <w:pPr>
        <w:rPr>
          <w:b/>
          <w:bCs/>
          <w:sz w:val="24"/>
          <w:szCs w:val="28"/>
        </w:rPr>
      </w:pPr>
      <w:r>
        <w:rPr>
          <w:b/>
          <w:bCs/>
          <w:sz w:val="24"/>
          <w:szCs w:val="28"/>
        </w:rPr>
        <w:t xml:space="preserve"> </w:t>
      </w:r>
    </w:p>
    <w:p w14:paraId="01A52ED8" w14:textId="77777777" w:rsidR="00D76402" w:rsidRDefault="00D76402" w:rsidP="00CA009C">
      <w:pPr>
        <w:spacing w:after="120"/>
        <w:jc w:val="center"/>
        <w:rPr>
          <w:b/>
          <w:bCs/>
          <w:sz w:val="24"/>
          <w:szCs w:val="28"/>
        </w:rPr>
      </w:pPr>
      <w:r>
        <w:rPr>
          <w:b/>
          <w:bCs/>
          <w:noProof/>
          <w:sz w:val="24"/>
          <w:szCs w:val="28"/>
        </w:rPr>
        <w:drawing>
          <wp:inline distT="0" distB="0" distL="0" distR="0" wp14:anchorId="4B8C58F9" wp14:editId="03B92E58">
            <wp:extent cx="3611120" cy="2433205"/>
            <wp:effectExtent l="0" t="0" r="8890" b="5715"/>
            <wp:docPr id="7" name="Image 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ab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5249" cy="2442725"/>
                    </a:xfrm>
                    <a:prstGeom prst="rect">
                      <a:avLst/>
                    </a:prstGeom>
                  </pic:spPr>
                </pic:pic>
              </a:graphicData>
            </a:graphic>
          </wp:inline>
        </w:drawing>
      </w:r>
    </w:p>
    <w:p w14:paraId="3902BBCF" w14:textId="77777777" w:rsidR="00D76402" w:rsidRDefault="00D76402" w:rsidP="00D76402"/>
    <w:p w14:paraId="38EBB58A" w14:textId="77777777" w:rsidR="00D76402" w:rsidRPr="004A198E" w:rsidRDefault="00D76402" w:rsidP="00D76402">
      <w:pPr>
        <w:rPr>
          <w:b/>
          <w:bCs/>
          <w:sz w:val="24"/>
          <w:szCs w:val="28"/>
        </w:rPr>
      </w:pPr>
      <w:r w:rsidRPr="004A198E">
        <w:rPr>
          <w:b/>
          <w:bCs/>
          <w:color w:val="FFFFFF" w:themeColor="background1"/>
          <w:sz w:val="24"/>
          <w:szCs w:val="28"/>
          <w:highlight w:val="red"/>
        </w:rPr>
        <w:t>DOC 2 </w:t>
      </w:r>
      <w:r w:rsidRPr="004A198E">
        <w:rPr>
          <w:b/>
          <w:bCs/>
          <w:color w:val="FFFFFF" w:themeColor="background1"/>
          <w:sz w:val="24"/>
          <w:szCs w:val="28"/>
        </w:rPr>
        <w:t xml:space="preserve"> </w:t>
      </w:r>
      <w:r w:rsidRPr="004A198E">
        <w:rPr>
          <w:b/>
          <w:bCs/>
          <w:sz w:val="24"/>
          <w:szCs w:val="28"/>
        </w:rPr>
        <w:t>Relevé des opération</w:t>
      </w:r>
      <w:r>
        <w:rPr>
          <w:b/>
          <w:bCs/>
          <w:sz w:val="24"/>
          <w:szCs w:val="28"/>
        </w:rPr>
        <w:t>s</w:t>
      </w:r>
      <w:r w:rsidRPr="004A198E">
        <w:rPr>
          <w:b/>
          <w:bCs/>
          <w:sz w:val="24"/>
          <w:szCs w:val="28"/>
        </w:rPr>
        <w:t xml:space="preserve"> bancaire</w:t>
      </w:r>
      <w:r>
        <w:rPr>
          <w:b/>
          <w:bCs/>
          <w:sz w:val="24"/>
          <w:szCs w:val="28"/>
        </w:rPr>
        <w:t xml:space="preserve"> à partir d’internet</w:t>
      </w:r>
    </w:p>
    <w:p w14:paraId="45A03D0F" w14:textId="77777777" w:rsidR="00D76402" w:rsidRDefault="00D76402" w:rsidP="00D76402">
      <w:pPr>
        <w:rPr>
          <w:lang w:eastAsia="fr-FR"/>
        </w:rPr>
      </w:pPr>
    </w:p>
    <w:p w14:paraId="2F533EB1" w14:textId="77777777" w:rsidR="00D76402" w:rsidRDefault="00D76402" w:rsidP="00D76402">
      <w:pPr>
        <w:jc w:val="center"/>
        <w:rPr>
          <w:lang w:eastAsia="fr-FR"/>
        </w:rPr>
      </w:pPr>
      <w:r>
        <w:rPr>
          <w:noProof/>
          <w:lang w:eastAsia="fr-FR"/>
        </w:rPr>
        <w:drawing>
          <wp:inline distT="0" distB="0" distL="0" distR="0" wp14:anchorId="05D8E239" wp14:editId="1FF48C5A">
            <wp:extent cx="3386509" cy="3159621"/>
            <wp:effectExtent l="19050" t="19050" r="23495" b="22225"/>
            <wp:docPr id="8" name="Image 8"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ab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5845" cy="3168331"/>
                    </a:xfrm>
                    <a:prstGeom prst="rect">
                      <a:avLst/>
                    </a:prstGeom>
                    <a:ln>
                      <a:solidFill>
                        <a:schemeClr val="tx1"/>
                      </a:solidFill>
                    </a:ln>
                  </pic:spPr>
                </pic:pic>
              </a:graphicData>
            </a:graphic>
          </wp:inline>
        </w:drawing>
      </w:r>
    </w:p>
    <w:p w14:paraId="2798E8C4" w14:textId="77777777" w:rsidR="00D76402" w:rsidRDefault="00D76402" w:rsidP="00D76402">
      <w:pPr>
        <w:rPr>
          <w:lang w:eastAsia="fr-FR"/>
        </w:rPr>
      </w:pPr>
    </w:p>
    <w:p w14:paraId="3026603A" w14:textId="77777777" w:rsidR="00D76402" w:rsidRDefault="00D76402" w:rsidP="00D76402">
      <w:pPr>
        <w:spacing w:before="120"/>
        <w:rPr>
          <w:b/>
          <w:bCs/>
          <w:sz w:val="24"/>
          <w:szCs w:val="28"/>
        </w:rPr>
      </w:pPr>
      <w:r w:rsidRPr="004A198E">
        <w:rPr>
          <w:b/>
          <w:bCs/>
          <w:color w:val="FFFFFF" w:themeColor="background1"/>
          <w:sz w:val="24"/>
          <w:szCs w:val="28"/>
          <w:highlight w:val="red"/>
        </w:rPr>
        <w:t xml:space="preserve">DOC </w:t>
      </w:r>
      <w:r>
        <w:rPr>
          <w:b/>
          <w:bCs/>
          <w:color w:val="FFFFFF" w:themeColor="background1"/>
          <w:sz w:val="24"/>
          <w:szCs w:val="28"/>
          <w:highlight w:val="red"/>
        </w:rPr>
        <w:t>3</w:t>
      </w:r>
      <w:r w:rsidRPr="004A198E">
        <w:rPr>
          <w:b/>
          <w:bCs/>
          <w:color w:val="FFFFFF" w:themeColor="background1"/>
          <w:sz w:val="24"/>
          <w:szCs w:val="28"/>
          <w:highlight w:val="red"/>
        </w:rPr>
        <w:t> </w:t>
      </w:r>
      <w:r w:rsidRPr="004A198E">
        <w:rPr>
          <w:b/>
          <w:bCs/>
          <w:color w:val="FFFFFF" w:themeColor="background1"/>
          <w:sz w:val="24"/>
          <w:szCs w:val="28"/>
        </w:rPr>
        <w:t xml:space="preserve"> </w:t>
      </w:r>
      <w:r>
        <w:rPr>
          <w:b/>
          <w:bCs/>
          <w:sz w:val="24"/>
          <w:szCs w:val="28"/>
        </w:rPr>
        <w:t>Les nouvelles dispositions sur les pénalités de retard</w:t>
      </w:r>
    </w:p>
    <w:p w14:paraId="4B464D50" w14:textId="77777777" w:rsidR="00D76402" w:rsidRPr="00910FD8" w:rsidRDefault="00D76402" w:rsidP="00CA009C">
      <w:pPr>
        <w:spacing w:before="120"/>
        <w:rPr>
          <w:i/>
          <w:iCs/>
          <w:sz w:val="20"/>
        </w:rPr>
      </w:pPr>
      <w:r w:rsidRPr="00910FD8">
        <w:rPr>
          <w:i/>
          <w:iCs/>
          <w:sz w:val="20"/>
        </w:rPr>
        <w:t>Source : https://www.direct-recouvrement.fr/</w:t>
      </w:r>
    </w:p>
    <w:p w14:paraId="6310D166" w14:textId="77777777" w:rsidR="00D76402" w:rsidRPr="00CA009C" w:rsidRDefault="00D76402" w:rsidP="00D76402">
      <w:pPr>
        <w:spacing w:before="120" w:after="120"/>
        <w:rPr>
          <w:color w:val="949494"/>
          <w:sz w:val="20"/>
          <w:szCs w:val="20"/>
          <w:lang w:eastAsia="fr-FR"/>
        </w:rPr>
      </w:pPr>
      <w:r w:rsidRPr="00CA009C">
        <w:rPr>
          <w:sz w:val="20"/>
          <w:szCs w:val="20"/>
        </w:rPr>
        <w:t>Pour inciter les entreprises à régler leurs fournisseurs plus rapidement, le législateur a voté une loi durcissant les conditions de paiement. Cette loi, dite loi de modernisation de l’économie ou « loi LME », instaurée en janvier 2009, plafonne les échéances de paiement et modifie le taux applicable.</w:t>
      </w:r>
    </w:p>
    <w:p w14:paraId="173E2002" w14:textId="77777777" w:rsidR="00D76402" w:rsidRPr="00CA009C" w:rsidRDefault="00D76402" w:rsidP="00D76402">
      <w:pPr>
        <w:pStyle w:val="Paragraphedeliste"/>
        <w:numPr>
          <w:ilvl w:val="0"/>
          <w:numId w:val="6"/>
        </w:numPr>
        <w:jc w:val="left"/>
        <w:rPr>
          <w:rFonts w:cs="Arial"/>
          <w:color w:val="949494"/>
          <w:sz w:val="18"/>
          <w:szCs w:val="18"/>
        </w:rPr>
      </w:pPr>
      <w:r w:rsidRPr="00CA009C">
        <w:rPr>
          <w:rStyle w:val="lev"/>
          <w:rFonts w:cs="Arial"/>
          <w:color w:val="000000"/>
          <w:sz w:val="20"/>
          <w:szCs w:val="18"/>
        </w:rPr>
        <w:t>É</w:t>
      </w:r>
      <w:r w:rsidRPr="00CA009C">
        <w:rPr>
          <w:rStyle w:val="lev"/>
          <w:rFonts w:cs="Arial"/>
          <w:color w:val="000000"/>
          <w:sz w:val="18"/>
          <w:szCs w:val="18"/>
        </w:rPr>
        <w:t>chéance</w:t>
      </w:r>
      <w:r w:rsidRPr="00CA009C">
        <w:rPr>
          <w:rFonts w:cs="Arial"/>
          <w:color w:val="949494"/>
          <w:sz w:val="18"/>
          <w:szCs w:val="18"/>
        </w:rPr>
        <w:t xml:space="preserve"> : </w:t>
      </w:r>
      <w:r w:rsidRPr="00CA009C">
        <w:rPr>
          <w:sz w:val="18"/>
          <w:szCs w:val="18"/>
        </w:rPr>
        <w:t>le délai de paiement convenu entre les parties ne peut dépasser </w:t>
      </w:r>
      <w:r w:rsidRPr="00CA009C">
        <w:rPr>
          <w:b/>
          <w:bCs/>
          <w:color w:val="000000" w:themeColor="text1"/>
          <w:sz w:val="18"/>
          <w:szCs w:val="18"/>
        </w:rPr>
        <w:t>60 jours à compter de la date d’émission de la facture ou 45 jours fin de mois</w:t>
      </w:r>
      <w:r w:rsidRPr="00CA009C">
        <w:rPr>
          <w:color w:val="000000" w:themeColor="text1"/>
          <w:sz w:val="18"/>
          <w:szCs w:val="18"/>
        </w:rPr>
        <w:t> </w:t>
      </w:r>
      <w:r w:rsidRPr="00CA009C">
        <w:rPr>
          <w:sz w:val="18"/>
          <w:szCs w:val="18"/>
        </w:rPr>
        <w:t>(FDM). S</w:t>
      </w:r>
      <w:r w:rsidRPr="00CA009C">
        <w:rPr>
          <w:rFonts w:cs="Arial"/>
          <w:sz w:val="18"/>
          <w:szCs w:val="18"/>
        </w:rPr>
        <w:t>i </w:t>
      </w:r>
      <w:r w:rsidRPr="00CA009C">
        <w:rPr>
          <w:sz w:val="18"/>
          <w:szCs w:val="18"/>
        </w:rPr>
        <w:t>aucun délai de paiement</w:t>
      </w:r>
      <w:r w:rsidRPr="00CA009C">
        <w:rPr>
          <w:rFonts w:cs="Arial"/>
          <w:sz w:val="18"/>
          <w:szCs w:val="18"/>
        </w:rPr>
        <w:t> n’est indiqué dans les CGV, le règlement est du à </w:t>
      </w:r>
      <w:r w:rsidRPr="00CA009C">
        <w:rPr>
          <w:rFonts w:cs="Arial"/>
          <w:b/>
          <w:bCs/>
          <w:color w:val="000000" w:themeColor="text1"/>
          <w:sz w:val="18"/>
          <w:szCs w:val="18"/>
        </w:rPr>
        <w:t>30 jours date de facture</w:t>
      </w:r>
      <w:r w:rsidRPr="00CA009C">
        <w:rPr>
          <w:rFonts w:cs="Arial"/>
          <w:color w:val="FF0000"/>
          <w:sz w:val="18"/>
          <w:szCs w:val="18"/>
        </w:rPr>
        <w:t>.</w:t>
      </w:r>
    </w:p>
    <w:p w14:paraId="455E9A0F" w14:textId="77777777" w:rsidR="00D76402" w:rsidRPr="00CA009C" w:rsidRDefault="00D76402" w:rsidP="00D76402">
      <w:pPr>
        <w:pStyle w:val="Paragraphedeliste"/>
        <w:numPr>
          <w:ilvl w:val="0"/>
          <w:numId w:val="6"/>
        </w:numPr>
        <w:spacing w:before="120"/>
        <w:rPr>
          <w:rFonts w:cs="Arial"/>
          <w:color w:val="949494"/>
          <w:sz w:val="18"/>
          <w:szCs w:val="18"/>
        </w:rPr>
      </w:pPr>
      <w:r w:rsidRPr="00CA009C">
        <w:rPr>
          <w:rStyle w:val="lev"/>
          <w:rFonts w:cs="Arial"/>
          <w:color w:val="000000"/>
          <w:sz w:val="20"/>
          <w:szCs w:val="18"/>
        </w:rPr>
        <w:t>T</w:t>
      </w:r>
      <w:r w:rsidRPr="00CA009C">
        <w:rPr>
          <w:rStyle w:val="lev"/>
          <w:rFonts w:cs="Arial"/>
          <w:color w:val="000000"/>
          <w:sz w:val="18"/>
          <w:szCs w:val="18"/>
        </w:rPr>
        <w:t xml:space="preserve">aux d'intérêt applicable : </w:t>
      </w:r>
      <w:r w:rsidRPr="00CA009C">
        <w:rPr>
          <w:rFonts w:cs="Arial"/>
          <w:sz w:val="18"/>
          <w:szCs w:val="18"/>
        </w:rPr>
        <w:t>le taux à appliquer pour calculer le montant des pénalités de retard</w:t>
      </w:r>
      <w:r w:rsidRPr="00CA009C">
        <w:rPr>
          <w:rFonts w:cs="Arial"/>
          <w:sz w:val="20"/>
          <w:szCs w:val="18"/>
        </w:rPr>
        <w:t xml:space="preserve"> </w:t>
      </w:r>
      <w:r w:rsidRPr="00CA009C">
        <w:rPr>
          <w:rFonts w:cs="Arial"/>
          <w:sz w:val="18"/>
          <w:szCs w:val="18"/>
        </w:rPr>
        <w:t>peut être </w:t>
      </w:r>
      <w:r w:rsidRPr="00CA009C">
        <w:rPr>
          <w:rFonts w:cs="Arial"/>
          <w:b/>
          <w:bCs/>
          <w:sz w:val="18"/>
          <w:szCs w:val="18"/>
        </w:rPr>
        <w:t>librement fixé</w:t>
      </w:r>
      <w:r w:rsidRPr="00CA009C">
        <w:rPr>
          <w:rFonts w:cs="Arial"/>
          <w:sz w:val="18"/>
          <w:szCs w:val="18"/>
        </w:rPr>
        <w:t>, sans toutefois être </w:t>
      </w:r>
      <w:r w:rsidRPr="00CA009C">
        <w:rPr>
          <w:rFonts w:cs="Arial"/>
          <w:b/>
          <w:bCs/>
          <w:color w:val="000000" w:themeColor="text1"/>
          <w:sz w:val="18"/>
          <w:szCs w:val="18"/>
        </w:rPr>
        <w:t>inférieur à trois fois le taux d'intérêt légal</w:t>
      </w:r>
      <w:r w:rsidRPr="00CA009C">
        <w:rPr>
          <w:rFonts w:cs="Arial"/>
          <w:sz w:val="18"/>
          <w:szCs w:val="18"/>
        </w:rPr>
        <w:t>, soit 2,52 % au 1</w:t>
      </w:r>
      <w:r w:rsidRPr="00CA009C">
        <w:rPr>
          <w:rFonts w:cs="Arial"/>
          <w:sz w:val="18"/>
          <w:szCs w:val="18"/>
          <w:vertAlign w:val="superscript"/>
        </w:rPr>
        <w:t>er</w:t>
      </w:r>
      <w:r w:rsidRPr="00CA009C">
        <w:rPr>
          <w:rFonts w:cs="Arial"/>
          <w:sz w:val="18"/>
          <w:szCs w:val="18"/>
        </w:rPr>
        <w:t xml:space="preserve"> juillet 2020. Ce seuil était d'une fois et </w:t>
      </w:r>
      <w:proofErr w:type="gramStart"/>
      <w:r w:rsidRPr="00CA009C">
        <w:rPr>
          <w:rFonts w:cs="Arial"/>
          <w:sz w:val="20"/>
          <w:szCs w:val="18"/>
        </w:rPr>
        <w:t>demi</w:t>
      </w:r>
      <w:proofErr w:type="gramEnd"/>
      <w:r w:rsidRPr="00CA009C">
        <w:rPr>
          <w:rFonts w:cs="Arial"/>
          <w:sz w:val="18"/>
          <w:szCs w:val="18"/>
        </w:rPr>
        <w:t xml:space="preserve"> le taux d'intérêt légal avant l'application de la loi LME.</w:t>
      </w:r>
    </w:p>
    <w:p w14:paraId="5949072A" w14:textId="77777777" w:rsidR="00D76402" w:rsidRPr="00CA009C" w:rsidRDefault="00D76402" w:rsidP="00D76402">
      <w:pPr>
        <w:pStyle w:val="Paragraphedeliste"/>
        <w:numPr>
          <w:ilvl w:val="0"/>
          <w:numId w:val="6"/>
        </w:numPr>
        <w:spacing w:before="120"/>
        <w:rPr>
          <w:rFonts w:cs="Arial"/>
          <w:color w:val="949494"/>
          <w:sz w:val="18"/>
          <w:szCs w:val="18"/>
        </w:rPr>
      </w:pPr>
      <w:r w:rsidRPr="00CA009C">
        <w:rPr>
          <w:rStyle w:val="lev"/>
          <w:rFonts w:cs="Arial"/>
          <w:color w:val="000000"/>
          <w:sz w:val="20"/>
          <w:szCs w:val="18"/>
        </w:rPr>
        <w:t>À</w:t>
      </w:r>
      <w:r w:rsidRPr="00CA009C">
        <w:rPr>
          <w:rStyle w:val="lev"/>
          <w:rFonts w:cs="Arial"/>
          <w:color w:val="000000"/>
          <w:sz w:val="18"/>
          <w:szCs w:val="18"/>
        </w:rPr>
        <w:t xml:space="preserve"> compter du 1</w:t>
      </w:r>
      <w:r w:rsidRPr="00CA009C">
        <w:rPr>
          <w:rStyle w:val="lev"/>
          <w:rFonts w:cs="Arial"/>
          <w:color w:val="000000"/>
          <w:sz w:val="18"/>
          <w:szCs w:val="18"/>
          <w:vertAlign w:val="superscript"/>
        </w:rPr>
        <w:t>er</w:t>
      </w:r>
      <w:r w:rsidRPr="00CA009C">
        <w:rPr>
          <w:rStyle w:val="lev"/>
          <w:rFonts w:cs="Arial"/>
          <w:color w:val="000000"/>
          <w:sz w:val="18"/>
          <w:szCs w:val="18"/>
        </w:rPr>
        <w:t xml:space="preserve"> janvier 2013… : </w:t>
      </w:r>
      <w:r w:rsidRPr="00CA009C">
        <w:rPr>
          <w:rFonts w:cs="Arial"/>
          <w:sz w:val="18"/>
          <w:szCs w:val="18"/>
        </w:rPr>
        <w:t>les entreprises pourront réclamer à leurs </w:t>
      </w:r>
      <w:r w:rsidRPr="00CA009C">
        <w:rPr>
          <w:rFonts w:cs="Arial"/>
          <w:b/>
          <w:bCs/>
          <w:sz w:val="18"/>
          <w:szCs w:val="18"/>
        </w:rPr>
        <w:t>clients professionnels</w:t>
      </w:r>
      <w:r w:rsidRPr="00CA009C">
        <w:rPr>
          <w:rFonts w:cs="Arial"/>
          <w:sz w:val="18"/>
          <w:szCs w:val="18"/>
        </w:rPr>
        <w:t> qui ne respectent pas les délais de paiement </w:t>
      </w:r>
      <w:r w:rsidRPr="00CA009C">
        <w:rPr>
          <w:rFonts w:cs="Arial"/>
          <w:b/>
          <w:bCs/>
          <w:color w:val="FF0000"/>
          <w:sz w:val="18"/>
          <w:szCs w:val="18"/>
        </w:rPr>
        <w:t>une indemnité forfaitaire</w:t>
      </w:r>
      <w:r w:rsidRPr="00CA009C">
        <w:rPr>
          <w:rFonts w:cs="Arial"/>
          <w:sz w:val="18"/>
          <w:szCs w:val="18"/>
        </w:rPr>
        <w:t>, qui a été fixée à </w:t>
      </w:r>
      <w:r w:rsidRPr="00CA009C">
        <w:rPr>
          <w:rFonts w:cs="Arial"/>
          <w:b/>
          <w:bCs/>
          <w:color w:val="FF0000"/>
          <w:sz w:val="18"/>
          <w:szCs w:val="18"/>
        </w:rPr>
        <w:t>40 euros</w:t>
      </w:r>
      <w:r w:rsidRPr="00CA009C">
        <w:rPr>
          <w:rFonts w:cs="Arial"/>
          <w:sz w:val="18"/>
          <w:szCs w:val="18"/>
        </w:rPr>
        <w:t> (</w:t>
      </w:r>
      <w:hyperlink r:id="rId13" w:tgtFrame="_blank" w:history="1">
        <w:r w:rsidRPr="00CA009C">
          <w:rPr>
            <w:rStyle w:val="Lienhypertexte"/>
            <w:rFonts w:cs="Arial"/>
            <w:color w:val="000000"/>
            <w:sz w:val="18"/>
            <w:szCs w:val="18"/>
            <w:u w:val="none"/>
          </w:rPr>
          <w:t>Décret n° 2012-1115 du 2 octobre 2012</w:t>
        </w:r>
      </w:hyperlink>
      <w:r w:rsidRPr="00CA009C">
        <w:rPr>
          <w:rFonts w:cs="Arial"/>
          <w:sz w:val="18"/>
          <w:szCs w:val="18"/>
        </w:rPr>
        <w:t>).</w:t>
      </w:r>
    </w:p>
    <w:p w14:paraId="70A5D9ED" w14:textId="6A562E0D" w:rsidR="001B71D6" w:rsidRPr="00CA009C" w:rsidRDefault="00D76402" w:rsidP="00D76402">
      <w:pPr>
        <w:spacing w:before="120"/>
        <w:ind w:left="360"/>
        <w:rPr>
          <w:sz w:val="20"/>
          <w:szCs w:val="20"/>
        </w:rPr>
      </w:pPr>
      <w:r w:rsidRPr="00CA009C">
        <w:rPr>
          <w:rFonts w:cs="Arial"/>
          <w:sz w:val="18"/>
          <w:szCs w:val="18"/>
        </w:rPr>
        <w:t>Et lorsque les frais de recouvrement sont supérieurs à ces 40 €, une </w:t>
      </w:r>
      <w:r w:rsidRPr="00CA009C">
        <w:rPr>
          <w:rFonts w:cs="Arial"/>
          <w:b/>
          <w:bCs/>
          <w:sz w:val="18"/>
          <w:szCs w:val="18"/>
        </w:rPr>
        <w:t>indemnisation complémentaire</w:t>
      </w:r>
      <w:r w:rsidRPr="00CA009C">
        <w:rPr>
          <w:rFonts w:cs="Arial"/>
          <w:sz w:val="18"/>
          <w:szCs w:val="18"/>
        </w:rPr>
        <w:t> est due de plein droit, sur justification, autorisant de fait les entreprises à réclamer le remboursement des honoraires d'un cabinet de recouvrement de créances.</w:t>
      </w:r>
    </w:p>
    <w:sectPr w:rsidR="001B71D6" w:rsidRPr="00CA009C" w:rsidSect="00E13D5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1C5F"/>
    <w:multiLevelType w:val="hybridMultilevel"/>
    <w:tmpl w:val="3EF6AF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3B41B30"/>
    <w:multiLevelType w:val="hybridMultilevel"/>
    <w:tmpl w:val="4BE4E7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523E69"/>
    <w:multiLevelType w:val="hybridMultilevel"/>
    <w:tmpl w:val="1220C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BE3A1D"/>
    <w:multiLevelType w:val="hybridMultilevel"/>
    <w:tmpl w:val="3EFE21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0C31E60"/>
    <w:multiLevelType w:val="hybridMultilevel"/>
    <w:tmpl w:val="F2C2C5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17522AB"/>
    <w:multiLevelType w:val="hybridMultilevel"/>
    <w:tmpl w:val="36EA1DCA"/>
    <w:lvl w:ilvl="0" w:tplc="10980EFC">
      <w:start w:val="97"/>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605068780">
    <w:abstractNumId w:val="5"/>
  </w:num>
  <w:num w:numId="2" w16cid:durableId="1730761365">
    <w:abstractNumId w:val="2"/>
  </w:num>
  <w:num w:numId="3" w16cid:durableId="766847524">
    <w:abstractNumId w:val="1"/>
  </w:num>
  <w:num w:numId="4" w16cid:durableId="1082486437">
    <w:abstractNumId w:val="0"/>
  </w:num>
  <w:num w:numId="5" w16cid:durableId="1924684566">
    <w:abstractNumId w:val="3"/>
  </w:num>
  <w:num w:numId="6" w16cid:durableId="618606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5C"/>
    <w:rsid w:val="00071930"/>
    <w:rsid w:val="001B71D6"/>
    <w:rsid w:val="00330F99"/>
    <w:rsid w:val="0039548C"/>
    <w:rsid w:val="00443490"/>
    <w:rsid w:val="00B82184"/>
    <w:rsid w:val="00CA009C"/>
    <w:rsid w:val="00CD5867"/>
    <w:rsid w:val="00D76402"/>
    <w:rsid w:val="00E13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08FE"/>
  <w15:chartTrackingRefBased/>
  <w15:docId w15:val="{A0E69E66-3411-4261-A9F0-8AA2DDDF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5C"/>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E13D5C"/>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E13D5C"/>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D7640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D5C"/>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E13D5C"/>
    <w:rPr>
      <w:rFonts w:ascii="Arial" w:eastAsia="Times New Roman" w:hAnsi="Arial" w:cs="Arial"/>
      <w:b/>
      <w:color w:val="000000"/>
      <w:sz w:val="28"/>
      <w:szCs w:val="20"/>
      <w:lang w:eastAsia="fr-FR"/>
    </w:rPr>
  </w:style>
  <w:style w:type="table" w:styleId="Grilledutableau">
    <w:name w:val="Table Grid"/>
    <w:basedOn w:val="TableauNormal"/>
    <w:uiPriority w:val="59"/>
    <w:rsid w:val="00E13D5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3D5C"/>
    <w:pPr>
      <w:ind w:left="720"/>
      <w:contextualSpacing/>
    </w:pPr>
  </w:style>
  <w:style w:type="character" w:customStyle="1" w:styleId="Titre3Car">
    <w:name w:val="Titre 3 Car"/>
    <w:basedOn w:val="Policepardfaut"/>
    <w:link w:val="Titre3"/>
    <w:uiPriority w:val="9"/>
    <w:semiHidden/>
    <w:rsid w:val="00D76402"/>
    <w:rPr>
      <w:rFonts w:asciiTheme="majorHAnsi" w:eastAsiaTheme="majorEastAsia" w:hAnsiTheme="majorHAnsi" w:cstheme="majorBidi"/>
      <w:color w:val="1F4D78" w:themeColor="accent1" w:themeShade="7F"/>
      <w:sz w:val="24"/>
      <w:szCs w:val="24"/>
    </w:rPr>
  </w:style>
  <w:style w:type="character" w:styleId="Lienhypertexte">
    <w:name w:val="Hyperlink"/>
    <w:uiPriority w:val="99"/>
    <w:unhideWhenUsed/>
    <w:rsid w:val="00D76402"/>
    <w:rPr>
      <w:color w:val="0000FF"/>
      <w:u w:val="single"/>
    </w:rPr>
  </w:style>
  <w:style w:type="character" w:styleId="lev">
    <w:name w:val="Strong"/>
    <w:aliases w:val="a texte"/>
    <w:uiPriority w:val="22"/>
    <w:qFormat/>
    <w:rsid w:val="00D76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legifrance.gouv.fr/affichTexte.do?cidTexte=JORFTEXT000026453427&amp;categorieLien=id"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662</Words>
  <Characters>3646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2015-12-10T21:18:00Z</dcterms:created>
  <dcterms:modified xsi:type="dcterms:W3CDTF">2023-10-20T11:25:00Z</dcterms:modified>
</cp:coreProperties>
</file>