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371"/>
        <w:gridCol w:w="1134"/>
      </w:tblGrid>
      <w:tr w:rsidR="00106E62" w:rsidRPr="00A03B9C" w14:paraId="4B43CC70" w14:textId="77777777" w:rsidTr="00251246">
        <w:trPr>
          <w:trHeight w:val="386"/>
        </w:trPr>
        <w:tc>
          <w:tcPr>
            <w:tcW w:w="9918" w:type="dxa"/>
            <w:gridSpan w:val="3"/>
            <w:shd w:val="clear" w:color="auto" w:fill="FFFF00"/>
          </w:tcPr>
          <w:p w14:paraId="3A4A30ED" w14:textId="77777777" w:rsidR="00106E62" w:rsidRPr="00A03B9C" w:rsidRDefault="00106E62" w:rsidP="00251246">
            <w:pPr>
              <w:pStyle w:val="Titre1"/>
              <w:spacing w:before="120" w:after="120"/>
              <w:jc w:val="center"/>
              <w:rPr>
                <w:rFonts w:ascii="Arial" w:hAnsi="Arial" w:cs="Arial"/>
                <w:b/>
                <w:bCs/>
                <w:color w:val="auto"/>
                <w:sz w:val="28"/>
                <w:szCs w:val="24"/>
              </w:rPr>
            </w:pPr>
            <w:r w:rsidRPr="00A03B9C">
              <w:rPr>
                <w:rFonts w:ascii="Arial" w:hAnsi="Arial" w:cs="Arial"/>
                <w:b/>
                <w:bCs/>
                <w:color w:val="auto"/>
                <w:sz w:val="28"/>
                <w:szCs w:val="24"/>
              </w:rPr>
              <w:t>Réflexion 02 - Réduire les impayés</w:t>
            </w:r>
          </w:p>
        </w:tc>
      </w:tr>
      <w:tr w:rsidR="00106E62" w:rsidRPr="00A03B9C" w14:paraId="0BFA4343" w14:textId="77777777" w:rsidTr="00251246">
        <w:trPr>
          <w:trHeight w:val="267"/>
        </w:trPr>
        <w:tc>
          <w:tcPr>
            <w:tcW w:w="1413" w:type="dxa"/>
            <w:shd w:val="clear" w:color="auto" w:fill="FFFF00"/>
            <w:vAlign w:val="center"/>
          </w:tcPr>
          <w:p w14:paraId="0306C473" w14:textId="77777777" w:rsidR="00106E62" w:rsidRPr="00A03B9C" w:rsidRDefault="00106E62" w:rsidP="00251246">
            <w:pPr>
              <w:jc w:val="left"/>
              <w:rPr>
                <w:i/>
                <w:sz w:val="20"/>
                <w:szCs w:val="20"/>
              </w:rPr>
            </w:pPr>
            <w:r w:rsidRPr="00A03B9C">
              <w:rPr>
                <w:b/>
                <w:sz w:val="20"/>
                <w:szCs w:val="20"/>
              </w:rPr>
              <w:t>Durée</w:t>
            </w:r>
            <w:r w:rsidRPr="00A03B9C">
              <w:rPr>
                <w:sz w:val="20"/>
                <w:szCs w:val="20"/>
              </w:rPr>
              <w:t xml:space="preserve"> : 15’</w:t>
            </w:r>
          </w:p>
        </w:tc>
        <w:tc>
          <w:tcPr>
            <w:tcW w:w="7371" w:type="dxa"/>
            <w:shd w:val="clear" w:color="auto" w:fill="FFFF00"/>
            <w:vAlign w:val="center"/>
          </w:tcPr>
          <w:p w14:paraId="35AB2880" w14:textId="77777777" w:rsidR="00106E62" w:rsidRPr="00A03B9C" w:rsidRDefault="00106E62" w:rsidP="00251246">
            <w:pPr>
              <w:jc w:val="center"/>
              <w:rPr>
                <w:i/>
                <w:sz w:val="20"/>
                <w:szCs w:val="20"/>
              </w:rPr>
            </w:pPr>
            <w:r w:rsidRPr="00A03B9C">
              <w:rPr>
                <w:noProof/>
                <w:sz w:val="20"/>
                <w:szCs w:val="20"/>
              </w:rPr>
              <w:drawing>
                <wp:inline distT="0" distB="0" distL="0" distR="0" wp14:anchorId="42F5F153" wp14:editId="7037D6FD">
                  <wp:extent cx="324000" cy="324000"/>
                  <wp:effectExtent l="0" t="0" r="0" b="0"/>
                  <wp:docPr id="2" name="Graphique 2"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sidRPr="00A03B9C">
              <w:rPr>
                <w:sz w:val="20"/>
                <w:szCs w:val="20"/>
              </w:rPr>
              <w:t>ou</w:t>
            </w:r>
            <w:r w:rsidRPr="00A03B9C">
              <w:rPr>
                <w:noProof/>
                <w:sz w:val="20"/>
                <w:szCs w:val="20"/>
              </w:rPr>
              <w:drawing>
                <wp:inline distT="0" distB="0" distL="0" distR="0" wp14:anchorId="293F9FF2" wp14:editId="08E7E075">
                  <wp:extent cx="360000" cy="360000"/>
                  <wp:effectExtent l="0" t="0" r="0" b="2540"/>
                  <wp:docPr id="17" name="Graphique 17"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134" w:type="dxa"/>
            <w:shd w:val="clear" w:color="auto" w:fill="FFFF00"/>
            <w:vAlign w:val="center"/>
          </w:tcPr>
          <w:p w14:paraId="023D7D3D" w14:textId="77777777" w:rsidR="00106E62" w:rsidRPr="00A03B9C" w:rsidRDefault="00106E62" w:rsidP="00251246">
            <w:pPr>
              <w:jc w:val="left"/>
              <w:rPr>
                <w:b/>
                <w:sz w:val="20"/>
                <w:szCs w:val="20"/>
              </w:rPr>
            </w:pPr>
            <w:r w:rsidRPr="00A03B9C">
              <w:rPr>
                <w:b/>
                <w:sz w:val="20"/>
                <w:szCs w:val="20"/>
              </w:rPr>
              <w:t xml:space="preserve">Source </w:t>
            </w:r>
          </w:p>
        </w:tc>
      </w:tr>
    </w:tbl>
    <w:p w14:paraId="1AF31A5D" w14:textId="77777777" w:rsidR="00106E62" w:rsidRPr="008A5B07" w:rsidRDefault="00106E62" w:rsidP="00106E62">
      <w:pPr>
        <w:rPr>
          <w:rFonts w:cs="Arial"/>
        </w:rPr>
      </w:pPr>
    </w:p>
    <w:p w14:paraId="7B473505" w14:textId="77777777" w:rsidR="00106E62" w:rsidRPr="009540B5" w:rsidRDefault="00106E62" w:rsidP="00106E62">
      <w:pPr>
        <w:rPr>
          <w:b/>
          <w:sz w:val="24"/>
        </w:rPr>
      </w:pPr>
      <w:r w:rsidRPr="009540B5">
        <w:rPr>
          <w:b/>
          <w:sz w:val="24"/>
        </w:rPr>
        <w:t>Travail à faire</w:t>
      </w:r>
    </w:p>
    <w:p w14:paraId="75C9EA33" w14:textId="77777777" w:rsidR="00106E62" w:rsidRDefault="00106E62" w:rsidP="00106E62">
      <w:pPr>
        <w:spacing w:before="120" w:after="120"/>
      </w:pPr>
      <w:r>
        <w:t>Après avoir lu le document répondez aux questions suivantes :</w:t>
      </w:r>
    </w:p>
    <w:p w14:paraId="5E2AA5FB" w14:textId="77777777" w:rsidR="00106E62" w:rsidRDefault="00106E62" w:rsidP="00106E62">
      <w:pPr>
        <w:pStyle w:val="Paragraphedeliste"/>
        <w:numPr>
          <w:ilvl w:val="0"/>
          <w:numId w:val="1"/>
        </w:numPr>
      </w:pPr>
      <w:r>
        <w:t>Quels sont les délais maximums de paiement autorisés par la loi ?</w:t>
      </w:r>
    </w:p>
    <w:p w14:paraId="252E66FA" w14:textId="77777777" w:rsidR="00106E62" w:rsidRDefault="00106E62" w:rsidP="00106E62">
      <w:pPr>
        <w:pStyle w:val="Paragraphedeliste"/>
        <w:numPr>
          <w:ilvl w:val="0"/>
          <w:numId w:val="1"/>
        </w:numPr>
      </w:pPr>
      <w:r>
        <w:t>Quel est l’intérêt d’accorder un escompte aux clients ?</w:t>
      </w:r>
    </w:p>
    <w:p w14:paraId="003141AB" w14:textId="77777777" w:rsidR="00106E62" w:rsidRDefault="00106E62" w:rsidP="00106E62">
      <w:pPr>
        <w:pStyle w:val="Paragraphedeliste"/>
        <w:numPr>
          <w:ilvl w:val="0"/>
          <w:numId w:val="1"/>
        </w:numPr>
      </w:pPr>
      <w:r>
        <w:t>Quelles sont les garanties de paiement citées et quelles sont est leurs intérêts ?</w:t>
      </w:r>
    </w:p>
    <w:p w14:paraId="7CB0DD1D" w14:textId="77777777" w:rsidR="00106E62" w:rsidRDefault="00106E62" w:rsidP="00106E62">
      <w:pPr>
        <w:pStyle w:val="Paragraphedeliste"/>
        <w:numPr>
          <w:ilvl w:val="0"/>
          <w:numId w:val="1"/>
        </w:numPr>
      </w:pPr>
      <w:r>
        <w:t>Comment recouvrer une créance à l’amiable ?</w:t>
      </w:r>
    </w:p>
    <w:p w14:paraId="281F90E2" w14:textId="77777777" w:rsidR="00106E62" w:rsidRDefault="00106E62" w:rsidP="00106E62"/>
    <w:p w14:paraId="5E05ECD1" w14:textId="52B4578C" w:rsidR="00106E62" w:rsidRPr="00075453" w:rsidRDefault="00106E62" w:rsidP="00106E62">
      <w:pPr>
        <w:rPr>
          <w:b/>
          <w:bCs/>
          <w:sz w:val="24"/>
          <w:szCs w:val="28"/>
        </w:rPr>
      </w:pPr>
      <w:r w:rsidRPr="00075453">
        <w:rPr>
          <w:b/>
          <w:bCs/>
          <w:color w:val="FFFFFF" w:themeColor="background1"/>
          <w:sz w:val="24"/>
          <w:szCs w:val="28"/>
          <w:highlight w:val="red"/>
        </w:rPr>
        <w:t xml:space="preserve">Doc. </w:t>
      </w:r>
      <w:r w:rsidRPr="00075453">
        <w:rPr>
          <w:b/>
          <w:bCs/>
          <w:sz w:val="24"/>
          <w:szCs w:val="28"/>
        </w:rPr>
        <w:t xml:space="preserve"> Prévenir les impayés</w:t>
      </w:r>
    </w:p>
    <w:p w14:paraId="245AE90A" w14:textId="77777777" w:rsidR="00106E62" w:rsidRPr="006B1E3D" w:rsidRDefault="00106E62" w:rsidP="00106E62"/>
    <w:p w14:paraId="4EAAF9AD" w14:textId="77777777" w:rsidR="00106E62" w:rsidRPr="006B1E3D" w:rsidRDefault="00106E62" w:rsidP="00106E62">
      <w:r w:rsidRPr="006B1E3D">
        <w:t>Les retards de paiement et les impayés des clients peuvent avoir des incidences sérieuses sur la trésorerie de l'entreprise. Il convient donc de tout faire pour les éviter.</w:t>
      </w:r>
    </w:p>
    <w:p w14:paraId="103941E9" w14:textId="77777777" w:rsidR="00106E62" w:rsidRPr="006B1E3D" w:rsidRDefault="00106E62" w:rsidP="00106E62">
      <w:pPr>
        <w:spacing w:before="120"/>
        <w:rPr>
          <w:b/>
        </w:rPr>
      </w:pPr>
      <w:r w:rsidRPr="006B1E3D">
        <w:rPr>
          <w:b/>
        </w:rPr>
        <w:t>Réduire les délais de paiement.</w:t>
      </w:r>
    </w:p>
    <w:p w14:paraId="7FA235DF" w14:textId="77777777" w:rsidR="00106E62" w:rsidRPr="006B1E3D" w:rsidRDefault="00106E62" w:rsidP="00106E62">
      <w:r w:rsidRPr="006B1E3D">
        <w:rPr>
          <w:color w:val="000000"/>
        </w:rPr>
        <w:t>La loi permet d’accorder à ses clients 45 jours fin de mois ou 60 jours à compter de la date d’émission de la facture pour qu’ils procèdent au règlement. Un délai déjà très long, qu’il convient, quand c’est possible, de réduire en modifiant les conditions générales de vente et qui, il ne faut pas l’oublier, commence à courir le jour de la facturation. Une facturation qu’il faut donc établir le plus tôt possible. Autre pratique intéressante pour la trésorerie de l’entreprise : inciter les clients à honorer par anticipation les factures en leur accordant un escompte pour tout paiement avant échéance. La mise en place d’une facturation partielle ou la demande de versement d’une avance le jour de la commande peut également être envisagée.</w:t>
      </w:r>
    </w:p>
    <w:p w14:paraId="0CF9AEFD" w14:textId="77777777" w:rsidR="00106E62" w:rsidRPr="006B1E3D" w:rsidRDefault="00106E62" w:rsidP="00106E62">
      <w:pPr>
        <w:spacing w:before="120"/>
        <w:rPr>
          <w:b/>
        </w:rPr>
      </w:pPr>
      <w:r w:rsidRPr="006B1E3D">
        <w:rPr>
          <w:b/>
        </w:rPr>
        <w:t>Exiger des garanties de paiement</w:t>
      </w:r>
    </w:p>
    <w:p w14:paraId="61BAE6DE" w14:textId="77777777" w:rsidR="00106E62" w:rsidRDefault="00106E62" w:rsidP="00106E62">
      <w:pPr>
        <w:rPr>
          <w:color w:val="000000"/>
        </w:rPr>
      </w:pPr>
      <w:r w:rsidRPr="006B1E3D">
        <w:rPr>
          <w:color w:val="000000"/>
        </w:rPr>
        <w:t>Pour éviter les impayés, il est opportun d’exiger des garanties. Certaines, comme le gage et l’hypothèque, réservent la possibilité de faire saisir l’un des biens mobiliers ou immobiliers du client défaillant pour les faire vendre en remboursement de sa dette. D’autres donnent le droit de conditionner la réalisation de la vente au fait qu’une personne se porte caution pour l’acheteur, c’est-à-dire s'engage à payer sa dette à sa place s’il se trouve dans l’impossibilité de le faire.</w:t>
      </w:r>
    </w:p>
    <w:p w14:paraId="5A37AD03" w14:textId="77777777" w:rsidR="00106E62" w:rsidRPr="006B1E3D" w:rsidRDefault="00106E62" w:rsidP="00106E62">
      <w:pPr>
        <w:rPr>
          <w:color w:val="000000"/>
        </w:rPr>
      </w:pPr>
      <w:r w:rsidRPr="006B1E3D">
        <w:rPr>
          <w:color w:val="000000"/>
        </w:rPr>
        <w:t>Enfin, l’insertion d’une clause de réserve de propriété dans les conditions générales de vente retardera le transfert de propriété du bien au jour du paiement intégral du prix. Ainsi, en cas d'impayé, il sera facile d’en obtenir la restitution.</w:t>
      </w:r>
    </w:p>
    <w:p w14:paraId="24F5282E" w14:textId="77777777" w:rsidR="00106E62" w:rsidRPr="006B1E3D" w:rsidRDefault="00106E62" w:rsidP="00106E62">
      <w:pPr>
        <w:spacing w:before="120"/>
        <w:rPr>
          <w:b/>
        </w:rPr>
      </w:pPr>
      <w:r w:rsidRPr="006B1E3D">
        <w:rPr>
          <w:b/>
        </w:rPr>
        <w:t>Recouvrer à l’amiable ses créances</w:t>
      </w:r>
    </w:p>
    <w:p w14:paraId="6C132940" w14:textId="77777777" w:rsidR="00106E62" w:rsidRDefault="00106E62" w:rsidP="00106E62">
      <w:pPr>
        <w:rPr>
          <w:color w:val="000000"/>
        </w:rPr>
      </w:pPr>
      <w:r w:rsidRPr="006B1E3D">
        <w:rPr>
          <w:color w:val="000000"/>
        </w:rPr>
        <w:t>Si, malgré toutes les précautions prises, certains clients tardent à honorer leur dette, un certain nombre de démarches peuvent être accomplies avant de recourir à la justice. Tout d’abord, commencer par effectuer des relances téléphoniques fermes et régulières pour montrer au client sa détermination à être payé et à porter l’affaire au contentieux si besoin. Si ces relances restent infructueuses, adresser un ultimatum sous la forme très solennelle d’une mise en demeure, par lettre recommandée avec demande d’avis de réception ou remise par un huissier de justice, peut se révéler efficace.</w:t>
      </w:r>
    </w:p>
    <w:p w14:paraId="36227376" w14:textId="77777777" w:rsidR="00106E62" w:rsidRPr="006B1E3D" w:rsidRDefault="00106E62" w:rsidP="00106E62">
      <w:pPr>
        <w:rPr>
          <w:color w:val="000000"/>
        </w:rPr>
      </w:pPr>
      <w:r w:rsidRPr="006B1E3D">
        <w:rPr>
          <w:color w:val="000000"/>
        </w:rPr>
        <w:t>Et lorsque ces méthodes n’ont pas donné de résultat, reste à recourir à l’injonction de payer. Rapide, simple et peu coûteuse, cette procédure judiciaire permet d’obtenir facilement un titre exécutoire autorisant ensuite à faire procéder, si besoin, à la saisie des biens du débiteur défaillant.</w:t>
      </w:r>
    </w:p>
    <w:p w14:paraId="62B44F68" w14:textId="77777777" w:rsidR="00106E62" w:rsidRPr="006B1E3D" w:rsidRDefault="00106E62" w:rsidP="00106E62">
      <w:pPr>
        <w:rPr>
          <w:color w:val="000000"/>
        </w:rPr>
      </w:pPr>
    </w:p>
    <w:p w14:paraId="3A5724F2" w14:textId="77777777" w:rsidR="00106E62" w:rsidRPr="006B1E3D" w:rsidRDefault="00106E62" w:rsidP="00106E62">
      <w:pPr>
        <w:rPr>
          <w:color w:val="000000"/>
          <w:sz w:val="18"/>
          <w:lang w:eastAsia="fr-FR"/>
        </w:rPr>
      </w:pPr>
      <w:r w:rsidRPr="006B1E3D">
        <w:rPr>
          <w:rStyle w:val="auteur5"/>
          <w:rFonts w:cs="Arial"/>
          <w:color w:val="000000"/>
          <w:sz w:val="18"/>
        </w:rPr>
        <w:t>S</w:t>
      </w:r>
      <w:r>
        <w:rPr>
          <w:rStyle w:val="auteur5"/>
          <w:rFonts w:cs="Arial"/>
          <w:color w:val="000000"/>
          <w:sz w:val="18"/>
        </w:rPr>
        <w:t>ource :</w:t>
      </w:r>
      <w:r>
        <w:rPr>
          <w:rStyle w:val="auteur5"/>
          <w:rFonts w:cs="Arial"/>
          <w:caps/>
          <w:color w:val="000000"/>
          <w:sz w:val="18"/>
        </w:rPr>
        <w:t xml:space="preserve"> </w:t>
      </w:r>
      <w:hyperlink r:id="rId9" w:history="1">
        <w:r w:rsidRPr="007359D3">
          <w:rPr>
            <w:rStyle w:val="Lienhypertexte"/>
            <w:rFonts w:cs="Arial"/>
            <w:sz w:val="18"/>
            <w:lang w:eastAsia="fr-FR"/>
          </w:rPr>
          <w:t>http://business.lesechos.fr/</w:t>
        </w:r>
      </w:hyperlink>
    </w:p>
    <w:p w14:paraId="3C311B6D" w14:textId="77777777" w:rsidR="00106E62" w:rsidRPr="006B1E3D" w:rsidRDefault="00106E62" w:rsidP="00106E62"/>
    <w:p w14:paraId="396599FA" w14:textId="77777777" w:rsidR="005B4DB9" w:rsidRDefault="005B4DB9"/>
    <w:p w14:paraId="09D0CEA9" w14:textId="77777777" w:rsidR="005B4DB9" w:rsidRDefault="005B4DB9"/>
    <w:p w14:paraId="2A94DDC5" w14:textId="77777777" w:rsidR="005B4DB9" w:rsidRDefault="005B4DB9"/>
    <w:p w14:paraId="2C0CA722" w14:textId="77777777" w:rsidR="005B4DB9" w:rsidRDefault="005B4DB9"/>
    <w:p w14:paraId="7C7491A6" w14:textId="77777777" w:rsidR="005B4DB9" w:rsidRDefault="005B4DB9"/>
    <w:p w14:paraId="1F048664" w14:textId="63ED4348" w:rsidR="005B4DB9" w:rsidRDefault="005B4DB9"/>
    <w:p w14:paraId="203B1EF7" w14:textId="77777777" w:rsidR="00A03B9C" w:rsidRDefault="00A03B9C"/>
    <w:p w14:paraId="02B102C2" w14:textId="77777777" w:rsidR="00A20042" w:rsidRDefault="00A20042"/>
    <w:p w14:paraId="0BA47230" w14:textId="77777777" w:rsidR="005B4DB9" w:rsidRDefault="005B4DB9"/>
    <w:p w14:paraId="3EBD5655" w14:textId="77777777" w:rsidR="005B4DB9" w:rsidRDefault="005B4DB9"/>
    <w:p w14:paraId="71A84970" w14:textId="56CA4F12" w:rsidR="005B4DB9" w:rsidRDefault="00106E62" w:rsidP="005B4DB9">
      <w:pPr>
        <w:rPr>
          <w:b/>
          <w:sz w:val="24"/>
        </w:rPr>
      </w:pPr>
      <w:r>
        <w:lastRenderedPageBreak/>
        <w:t>Réponses</w:t>
      </w:r>
    </w:p>
    <w:p w14:paraId="60164B6A" w14:textId="77777777" w:rsidR="005B4DB9" w:rsidRPr="005B4DB9" w:rsidRDefault="005B4DB9" w:rsidP="005B4DB9">
      <w:pPr>
        <w:rPr>
          <w:b/>
          <w:sz w:val="24"/>
        </w:rPr>
      </w:pPr>
    </w:p>
    <w:p w14:paraId="525819EB" w14:textId="77777777" w:rsidR="005B4DB9" w:rsidRDefault="003E6986" w:rsidP="00106E62">
      <w:pPr>
        <w:pStyle w:val="Paragraphedeliste"/>
        <w:numPr>
          <w:ilvl w:val="0"/>
          <w:numId w:val="2"/>
        </w:numPr>
        <w:rPr>
          <w:b/>
          <w:sz w:val="24"/>
        </w:rPr>
      </w:pPr>
      <w:r>
        <w:rPr>
          <w:b/>
          <w:sz w:val="24"/>
        </w:rPr>
        <w:t>Quels sont les délais maximums de pai</w:t>
      </w:r>
      <w:r w:rsidR="005B4DB9" w:rsidRPr="005B4DB9">
        <w:rPr>
          <w:b/>
          <w:sz w:val="24"/>
        </w:rPr>
        <w:t>ement autorisé</w:t>
      </w:r>
      <w:r>
        <w:rPr>
          <w:b/>
          <w:sz w:val="24"/>
        </w:rPr>
        <w:t>s</w:t>
      </w:r>
      <w:r w:rsidR="005B4DB9" w:rsidRPr="005B4DB9">
        <w:rPr>
          <w:b/>
          <w:sz w:val="24"/>
        </w:rPr>
        <w:t xml:space="preserve"> par la loi ?</w:t>
      </w:r>
    </w:p>
    <w:p w14:paraId="18E7223E" w14:textId="3E5D243E" w:rsidR="005B4DB9" w:rsidRDefault="005B4DB9" w:rsidP="005B4DB9">
      <w:pPr>
        <w:rPr>
          <w:b/>
          <w:sz w:val="24"/>
        </w:rPr>
      </w:pPr>
    </w:p>
    <w:p w14:paraId="164424BC" w14:textId="77777777" w:rsidR="00106E62" w:rsidRDefault="00106E62" w:rsidP="005B4DB9">
      <w:pPr>
        <w:rPr>
          <w:b/>
          <w:sz w:val="24"/>
        </w:rPr>
      </w:pPr>
    </w:p>
    <w:p w14:paraId="76195E24" w14:textId="77777777" w:rsidR="005B4DB9" w:rsidRPr="005B4DB9" w:rsidRDefault="005B4DB9" w:rsidP="005B4DB9">
      <w:pPr>
        <w:rPr>
          <w:b/>
          <w:sz w:val="24"/>
        </w:rPr>
      </w:pPr>
    </w:p>
    <w:p w14:paraId="463D7F11" w14:textId="77777777" w:rsidR="005B4DB9" w:rsidRDefault="005B4DB9" w:rsidP="00106E62">
      <w:pPr>
        <w:pStyle w:val="Paragraphedeliste"/>
        <w:numPr>
          <w:ilvl w:val="0"/>
          <w:numId w:val="2"/>
        </w:numPr>
        <w:rPr>
          <w:b/>
          <w:sz w:val="24"/>
        </w:rPr>
      </w:pPr>
      <w:r w:rsidRPr="005B4DB9">
        <w:rPr>
          <w:b/>
          <w:sz w:val="24"/>
        </w:rPr>
        <w:t>Quel est l’intérêt d’accorder un escompte aux clients ?</w:t>
      </w:r>
    </w:p>
    <w:p w14:paraId="40408FE9" w14:textId="77777777" w:rsidR="005B4DB9" w:rsidRPr="005B4DB9" w:rsidRDefault="005B4DB9" w:rsidP="005B4DB9">
      <w:pPr>
        <w:pStyle w:val="Paragraphedeliste"/>
        <w:rPr>
          <w:b/>
          <w:sz w:val="24"/>
        </w:rPr>
      </w:pPr>
    </w:p>
    <w:p w14:paraId="07DDA43B" w14:textId="140A1303" w:rsidR="005B4DB9" w:rsidRDefault="005B4DB9" w:rsidP="005B4DB9">
      <w:pPr>
        <w:rPr>
          <w:b/>
          <w:sz w:val="24"/>
        </w:rPr>
      </w:pPr>
    </w:p>
    <w:p w14:paraId="618820BF" w14:textId="77777777" w:rsidR="00106E62" w:rsidRPr="005B4DB9" w:rsidRDefault="00106E62" w:rsidP="005B4DB9">
      <w:pPr>
        <w:rPr>
          <w:b/>
          <w:sz w:val="24"/>
        </w:rPr>
      </w:pPr>
    </w:p>
    <w:p w14:paraId="5CF222F4" w14:textId="77777777" w:rsidR="005B4DB9" w:rsidRDefault="005B4DB9" w:rsidP="00106E62">
      <w:pPr>
        <w:pStyle w:val="Paragraphedeliste"/>
        <w:numPr>
          <w:ilvl w:val="0"/>
          <w:numId w:val="2"/>
        </w:numPr>
        <w:rPr>
          <w:b/>
          <w:sz w:val="24"/>
        </w:rPr>
      </w:pPr>
      <w:r w:rsidRPr="005B4DB9">
        <w:rPr>
          <w:b/>
          <w:sz w:val="24"/>
        </w:rPr>
        <w:t>Quelles sont les garanties de paiement cité</w:t>
      </w:r>
      <w:r w:rsidR="003E6986">
        <w:rPr>
          <w:b/>
          <w:sz w:val="24"/>
        </w:rPr>
        <w:t>es</w:t>
      </w:r>
      <w:r w:rsidRPr="005B4DB9">
        <w:rPr>
          <w:b/>
          <w:sz w:val="24"/>
        </w:rPr>
        <w:t xml:space="preserve"> et quel</w:t>
      </w:r>
      <w:r w:rsidR="003E6986">
        <w:rPr>
          <w:b/>
          <w:sz w:val="24"/>
        </w:rPr>
        <w:t>les</w:t>
      </w:r>
      <w:r w:rsidRPr="005B4DB9">
        <w:rPr>
          <w:b/>
          <w:sz w:val="24"/>
        </w:rPr>
        <w:t xml:space="preserve"> </w:t>
      </w:r>
      <w:r w:rsidR="003E6986">
        <w:rPr>
          <w:b/>
          <w:sz w:val="24"/>
        </w:rPr>
        <w:t>sont</w:t>
      </w:r>
      <w:r w:rsidRPr="005B4DB9">
        <w:rPr>
          <w:b/>
          <w:sz w:val="24"/>
        </w:rPr>
        <w:t xml:space="preserve"> leur</w:t>
      </w:r>
      <w:r w:rsidR="003E6986">
        <w:rPr>
          <w:b/>
          <w:sz w:val="24"/>
        </w:rPr>
        <w:t>s</w:t>
      </w:r>
      <w:r w:rsidRPr="005B4DB9">
        <w:rPr>
          <w:b/>
          <w:sz w:val="24"/>
        </w:rPr>
        <w:t xml:space="preserve"> intérêt</w:t>
      </w:r>
      <w:r w:rsidR="003E6986">
        <w:rPr>
          <w:b/>
          <w:sz w:val="24"/>
        </w:rPr>
        <w:t>s</w:t>
      </w:r>
      <w:r w:rsidRPr="005B4DB9">
        <w:rPr>
          <w:b/>
          <w:sz w:val="24"/>
        </w:rPr>
        <w:t> ?</w:t>
      </w:r>
    </w:p>
    <w:p w14:paraId="5033DB55" w14:textId="4F41FB57" w:rsidR="005B4DB9" w:rsidRDefault="005B4DB9" w:rsidP="005B4DB9">
      <w:pPr>
        <w:rPr>
          <w:b/>
          <w:sz w:val="24"/>
        </w:rPr>
      </w:pPr>
    </w:p>
    <w:p w14:paraId="3154178A" w14:textId="77777777" w:rsidR="00106E62" w:rsidRDefault="00106E62" w:rsidP="005B4DB9">
      <w:pPr>
        <w:rPr>
          <w:b/>
          <w:sz w:val="24"/>
        </w:rPr>
      </w:pPr>
    </w:p>
    <w:p w14:paraId="70722CE9" w14:textId="77777777" w:rsidR="005B4DB9" w:rsidRPr="005B4DB9" w:rsidRDefault="005B4DB9" w:rsidP="005B4DB9">
      <w:pPr>
        <w:rPr>
          <w:b/>
          <w:sz w:val="24"/>
        </w:rPr>
      </w:pPr>
    </w:p>
    <w:p w14:paraId="6731C919" w14:textId="77777777" w:rsidR="005B4DB9" w:rsidRPr="005B4DB9" w:rsidRDefault="005B4DB9" w:rsidP="00106E62">
      <w:pPr>
        <w:pStyle w:val="Paragraphedeliste"/>
        <w:numPr>
          <w:ilvl w:val="0"/>
          <w:numId w:val="2"/>
        </w:numPr>
        <w:rPr>
          <w:b/>
          <w:sz w:val="24"/>
        </w:rPr>
      </w:pPr>
      <w:r w:rsidRPr="005B4DB9">
        <w:rPr>
          <w:b/>
          <w:sz w:val="24"/>
        </w:rPr>
        <w:t>Comment recouvrer une créance à l’amiable ?</w:t>
      </w:r>
    </w:p>
    <w:p w14:paraId="7BFCB7FE" w14:textId="77777777" w:rsidR="005B4DB9" w:rsidRPr="005B4DB9" w:rsidRDefault="005B4DB9" w:rsidP="005B4DB9">
      <w:pPr>
        <w:rPr>
          <w:b/>
          <w:sz w:val="24"/>
        </w:rPr>
      </w:pPr>
    </w:p>
    <w:p w14:paraId="292B8B67" w14:textId="77777777" w:rsidR="005B4DB9" w:rsidRPr="005B4DB9" w:rsidRDefault="005B4DB9">
      <w:pPr>
        <w:rPr>
          <w:b/>
          <w:sz w:val="24"/>
        </w:rPr>
      </w:pPr>
    </w:p>
    <w:p w14:paraId="068FB946" w14:textId="77777777" w:rsidR="005B4DB9" w:rsidRPr="005B4DB9" w:rsidRDefault="005B4DB9">
      <w:pPr>
        <w:rPr>
          <w:b/>
          <w:sz w:val="24"/>
        </w:rPr>
      </w:pPr>
    </w:p>
    <w:sectPr w:rsidR="005B4DB9" w:rsidRPr="005B4DB9" w:rsidSect="00106E62">
      <w:pgSz w:w="11906" w:h="16838"/>
      <w:pgMar w:top="851" w:right="851"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C6DCE"/>
    <w:multiLevelType w:val="hybridMultilevel"/>
    <w:tmpl w:val="943C5278"/>
    <w:lvl w:ilvl="0" w:tplc="CD06F2A2">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27B1BBA"/>
    <w:multiLevelType w:val="hybridMultilevel"/>
    <w:tmpl w:val="ECF4F44A"/>
    <w:lvl w:ilvl="0" w:tplc="6F2EC9AE">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18699628">
    <w:abstractNumId w:val="0"/>
  </w:num>
  <w:num w:numId="2" w16cid:durableId="1488402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DF"/>
    <w:rsid w:val="00106E62"/>
    <w:rsid w:val="003E6986"/>
    <w:rsid w:val="0047522E"/>
    <w:rsid w:val="005B4DB9"/>
    <w:rsid w:val="00A03B9C"/>
    <w:rsid w:val="00A20042"/>
    <w:rsid w:val="00F426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C890"/>
  <w15:chartTrackingRefBased/>
  <w15:docId w15:val="{8EF3FCC6-E09D-441E-B337-1DCB17B6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6DF"/>
    <w:pPr>
      <w:spacing w:after="0" w:line="240" w:lineRule="auto"/>
      <w:jc w:val="both"/>
    </w:pPr>
    <w:rPr>
      <w:rFonts w:ascii="Arial" w:eastAsia="Calibri" w:hAnsi="Arial" w:cs="Times New Roman"/>
    </w:rPr>
  </w:style>
  <w:style w:type="paragraph" w:styleId="Titre1">
    <w:name w:val="heading 1"/>
    <w:basedOn w:val="Normal"/>
    <w:next w:val="Normal"/>
    <w:link w:val="Titre1Car"/>
    <w:uiPriority w:val="9"/>
    <w:qFormat/>
    <w:rsid w:val="00106E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F426DF"/>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426DF"/>
    <w:rPr>
      <w:rFonts w:ascii="Arial" w:eastAsia="Times New Roman" w:hAnsi="Arial" w:cs="Arial"/>
      <w:b/>
      <w:color w:val="000000"/>
      <w:sz w:val="28"/>
      <w:szCs w:val="20"/>
      <w:lang w:eastAsia="fr-FR"/>
    </w:rPr>
  </w:style>
  <w:style w:type="character" w:styleId="Lienhypertexte">
    <w:name w:val="Hyperlink"/>
    <w:uiPriority w:val="99"/>
    <w:unhideWhenUsed/>
    <w:rsid w:val="00F426DF"/>
    <w:rPr>
      <w:color w:val="0000FF"/>
      <w:u w:val="single"/>
    </w:rPr>
  </w:style>
  <w:style w:type="paragraph" w:styleId="Paragraphedeliste">
    <w:name w:val="List Paragraph"/>
    <w:basedOn w:val="Normal"/>
    <w:uiPriority w:val="34"/>
    <w:qFormat/>
    <w:rsid w:val="00F426DF"/>
    <w:pPr>
      <w:ind w:left="720"/>
      <w:contextualSpacing/>
    </w:pPr>
  </w:style>
  <w:style w:type="character" w:customStyle="1" w:styleId="auteur5">
    <w:name w:val="auteur5"/>
    <w:basedOn w:val="Policepardfaut"/>
    <w:rsid w:val="00F426DF"/>
  </w:style>
  <w:style w:type="character" w:customStyle="1" w:styleId="Titre1Car">
    <w:name w:val="Titre 1 Car"/>
    <w:basedOn w:val="Policepardfaut"/>
    <w:link w:val="Titre1"/>
    <w:uiPriority w:val="9"/>
    <w:rsid w:val="00106E6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usiness.lesecho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526</Words>
  <Characters>2896</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2015-11-02T21:13:00Z</dcterms:created>
  <dcterms:modified xsi:type="dcterms:W3CDTF">2023-01-20T23:01:00Z</dcterms:modified>
</cp:coreProperties>
</file>