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271"/>
        <w:gridCol w:w="6376"/>
        <w:gridCol w:w="787"/>
        <w:gridCol w:w="1538"/>
      </w:tblGrid>
      <w:tr w:rsidR="00AE2C64" w:rsidRPr="00AE2C64" w14:paraId="08060223" w14:textId="77777777" w:rsidTr="00481D6B">
        <w:trPr>
          <w:trHeight w:val="386"/>
        </w:trPr>
        <w:tc>
          <w:tcPr>
            <w:tcW w:w="7650" w:type="dxa"/>
            <w:gridSpan w:val="2"/>
            <w:shd w:val="clear" w:color="auto" w:fill="92D050"/>
            <w:vAlign w:val="center"/>
          </w:tcPr>
          <w:p w14:paraId="7902AF05" w14:textId="77777777" w:rsidR="00AE2C64" w:rsidRPr="00AE2C64" w:rsidRDefault="00AE2C64" w:rsidP="00481D6B">
            <w:pPr>
              <w:pStyle w:val="Titre1"/>
              <w:spacing w:before="120"/>
              <w:jc w:val="center"/>
              <w:rPr>
                <w:rFonts w:ascii="Arial" w:hAnsi="Arial" w:cs="Arial"/>
                <w:b/>
                <w:bCs/>
                <w:color w:val="000000" w:themeColor="text1"/>
                <w:sz w:val="28"/>
                <w:szCs w:val="24"/>
              </w:rPr>
            </w:pPr>
            <w:r w:rsidRPr="00AE2C64">
              <w:rPr>
                <w:rFonts w:ascii="Arial" w:hAnsi="Arial" w:cs="Arial"/>
                <w:b/>
                <w:bCs/>
                <w:color w:val="000000" w:themeColor="text1"/>
                <w:sz w:val="28"/>
                <w:szCs w:val="24"/>
              </w:rPr>
              <w:t>Mission 01 - Analyser le risque client</w:t>
            </w:r>
          </w:p>
        </w:tc>
        <w:tc>
          <w:tcPr>
            <w:tcW w:w="2322" w:type="dxa"/>
            <w:gridSpan w:val="2"/>
            <w:shd w:val="clear" w:color="auto" w:fill="92D050"/>
            <w:vAlign w:val="center"/>
          </w:tcPr>
          <w:p w14:paraId="77014D79" w14:textId="77777777" w:rsidR="00AE2C64" w:rsidRPr="00AE2C64" w:rsidRDefault="00AE2C64" w:rsidP="00481D6B">
            <w:pPr>
              <w:jc w:val="center"/>
              <w:rPr>
                <w:b/>
                <w:color w:val="000000" w:themeColor="text1"/>
                <w:sz w:val="28"/>
                <w:szCs w:val="24"/>
              </w:rPr>
            </w:pPr>
            <w:r w:rsidRPr="00AE2C64">
              <w:rPr>
                <w:rFonts w:ascii="Calibri" w:hAnsi="Calibri"/>
                <w:noProof/>
                <w:color w:val="000000" w:themeColor="text1"/>
                <w:sz w:val="28"/>
                <w:szCs w:val="24"/>
              </w:rPr>
              <w:drawing>
                <wp:inline distT="0" distB="0" distL="0" distR="0" wp14:anchorId="5808C47A" wp14:editId="63666332">
                  <wp:extent cx="1299845" cy="48895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9845" cy="488950"/>
                          </a:xfrm>
                          <a:prstGeom prst="rect">
                            <a:avLst/>
                          </a:prstGeom>
                          <a:noFill/>
                          <a:ln>
                            <a:noFill/>
                          </a:ln>
                        </pic:spPr>
                      </pic:pic>
                    </a:graphicData>
                  </a:graphic>
                </wp:inline>
              </w:drawing>
            </w:r>
          </w:p>
        </w:tc>
      </w:tr>
      <w:tr w:rsidR="00AE2C64" w:rsidRPr="00AE2C64" w14:paraId="3708C295" w14:textId="77777777" w:rsidTr="00481D6B">
        <w:trPr>
          <w:trHeight w:val="386"/>
        </w:trPr>
        <w:tc>
          <w:tcPr>
            <w:tcW w:w="1271" w:type="dxa"/>
            <w:shd w:val="clear" w:color="auto" w:fill="92D050"/>
            <w:vAlign w:val="center"/>
          </w:tcPr>
          <w:p w14:paraId="698CB0D5" w14:textId="77777777" w:rsidR="00AE2C64" w:rsidRPr="00AE2C64" w:rsidRDefault="00AE2C64" w:rsidP="00481D6B">
            <w:pPr>
              <w:jc w:val="left"/>
              <w:rPr>
                <w:sz w:val="20"/>
                <w:szCs w:val="20"/>
              </w:rPr>
            </w:pPr>
            <w:r w:rsidRPr="00AE2C64">
              <w:rPr>
                <w:sz w:val="20"/>
                <w:szCs w:val="20"/>
              </w:rPr>
              <w:t>Durée : 1 h</w:t>
            </w:r>
          </w:p>
        </w:tc>
        <w:tc>
          <w:tcPr>
            <w:tcW w:w="6379" w:type="dxa"/>
            <w:shd w:val="clear" w:color="auto" w:fill="92D050"/>
          </w:tcPr>
          <w:p w14:paraId="5568DD74" w14:textId="77777777" w:rsidR="00AE2C64" w:rsidRPr="00AE2C64" w:rsidRDefault="00AE2C64" w:rsidP="00481D6B">
            <w:pPr>
              <w:jc w:val="center"/>
              <w:rPr>
                <w:sz w:val="20"/>
                <w:szCs w:val="20"/>
              </w:rPr>
            </w:pPr>
            <w:r w:rsidRPr="00AE2C64">
              <w:rPr>
                <w:noProof/>
                <w:sz w:val="20"/>
                <w:szCs w:val="20"/>
              </w:rPr>
              <w:drawing>
                <wp:inline distT="0" distB="0" distL="0" distR="0" wp14:anchorId="69F85E10" wp14:editId="783D710A">
                  <wp:extent cx="324000" cy="324000"/>
                  <wp:effectExtent l="0" t="0" r="0" b="0"/>
                  <wp:docPr id="18" name="Graphique 18"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que 6"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r w:rsidRPr="00AE2C64">
              <w:rPr>
                <w:sz w:val="20"/>
                <w:szCs w:val="20"/>
              </w:rPr>
              <w:t>ou</w:t>
            </w:r>
            <w:r w:rsidRPr="00AE2C64">
              <w:rPr>
                <w:noProof/>
                <w:sz w:val="20"/>
                <w:szCs w:val="20"/>
              </w:rPr>
              <w:drawing>
                <wp:inline distT="0" distB="0" distL="0" distR="0" wp14:anchorId="682675AE" wp14:editId="267D8787">
                  <wp:extent cx="360000" cy="360000"/>
                  <wp:effectExtent l="0" t="0" r="0" b="2540"/>
                  <wp:docPr id="20" name="Graphique 20"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que 16"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784" w:type="dxa"/>
            <w:shd w:val="clear" w:color="auto" w:fill="92D050"/>
            <w:vAlign w:val="center"/>
          </w:tcPr>
          <w:p w14:paraId="33049192" w14:textId="77777777" w:rsidR="00AE2C64" w:rsidRPr="00AE2C64" w:rsidRDefault="00AE2C64" w:rsidP="00481D6B">
            <w:pPr>
              <w:jc w:val="center"/>
              <w:rPr>
                <w:bCs/>
                <w:sz w:val="20"/>
                <w:szCs w:val="20"/>
              </w:rPr>
            </w:pPr>
            <w:r w:rsidRPr="00AE2C64">
              <w:rPr>
                <w:bCs/>
                <w:i/>
                <w:noProof/>
                <w:sz w:val="20"/>
                <w:szCs w:val="20"/>
              </w:rPr>
              <w:drawing>
                <wp:inline distT="0" distB="0" distL="0" distR="0" wp14:anchorId="38C50E6D" wp14:editId="7AC730E7">
                  <wp:extent cx="362762" cy="360000"/>
                  <wp:effectExtent l="0" t="0" r="0" b="2540"/>
                  <wp:docPr id="1411346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41723" name="Image 183254172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762" cy="360000"/>
                          </a:xfrm>
                          <a:prstGeom prst="rect">
                            <a:avLst/>
                          </a:prstGeom>
                        </pic:spPr>
                      </pic:pic>
                    </a:graphicData>
                  </a:graphic>
                </wp:inline>
              </w:drawing>
            </w:r>
          </w:p>
        </w:tc>
        <w:tc>
          <w:tcPr>
            <w:tcW w:w="1538" w:type="dxa"/>
            <w:shd w:val="clear" w:color="auto" w:fill="92D050"/>
            <w:vAlign w:val="center"/>
          </w:tcPr>
          <w:p w14:paraId="51514D21" w14:textId="77777777" w:rsidR="00AE2C64" w:rsidRPr="00AE2C64" w:rsidRDefault="00AE2C64" w:rsidP="00481D6B">
            <w:pPr>
              <w:jc w:val="center"/>
              <w:rPr>
                <w:bCs/>
                <w:sz w:val="20"/>
                <w:szCs w:val="20"/>
              </w:rPr>
            </w:pPr>
            <w:r w:rsidRPr="00AE2C64">
              <w:rPr>
                <w:bCs/>
                <w:sz w:val="20"/>
                <w:szCs w:val="20"/>
              </w:rPr>
              <w:t>Source | Excel</w:t>
            </w:r>
          </w:p>
        </w:tc>
      </w:tr>
    </w:tbl>
    <w:p w14:paraId="661D8E91" w14:textId="77777777" w:rsidR="00AE2C64" w:rsidRPr="00AE2C64" w:rsidRDefault="00AE2C64" w:rsidP="00AE2C64">
      <w:pPr>
        <w:pStyle w:val="Titre2"/>
        <w:spacing w:before="240"/>
        <w:rPr>
          <w:noProof/>
          <w:sz w:val="24"/>
          <w:szCs w:val="18"/>
        </w:rPr>
      </w:pPr>
      <w:bookmarkStart w:id="0" w:name="_Hlk125152751"/>
      <w:r w:rsidRPr="00AE2C64">
        <w:rPr>
          <w:noProof/>
          <w:sz w:val="24"/>
          <w:szCs w:val="18"/>
        </w:rPr>
        <w:t xml:space="preserve">Contexte professionnel </w:t>
      </w:r>
    </w:p>
    <w:p w14:paraId="16F3329C" w14:textId="77777777" w:rsidR="00AE2C64" w:rsidRPr="00C14C06" w:rsidRDefault="00AE2C64" w:rsidP="00AE2C64">
      <w:pPr>
        <w:spacing w:after="120"/>
        <w:rPr>
          <w:rFonts w:cs="Arial"/>
          <w:noProof/>
          <w:sz w:val="20"/>
          <w:szCs w:val="20"/>
        </w:rPr>
      </w:pPr>
      <w:r w:rsidRPr="00C14C06">
        <w:rPr>
          <w:rFonts w:cs="Arial"/>
          <w:noProof/>
          <w:sz w:val="20"/>
          <w:szCs w:val="20"/>
        </w:rPr>
        <w:t>La société vient de subir un impayé majeur de la part de son client Belaggio, l’un de ses plus importants partenaires commerciaux. Le directeur de Belaggio sollicite désormais un rééchelonnement de sa dette, avec un paiement échelonné en trois versements : fin mars, fin avril et fin mai.</w:t>
      </w:r>
    </w:p>
    <w:p w14:paraId="0AE94DA9" w14:textId="77777777" w:rsidR="00AE2C64" w:rsidRPr="00C14C06" w:rsidRDefault="00AE2C64" w:rsidP="00AE2C64">
      <w:pPr>
        <w:spacing w:before="120"/>
        <w:rPr>
          <w:rFonts w:cs="Arial"/>
          <w:noProof/>
          <w:sz w:val="20"/>
          <w:szCs w:val="20"/>
        </w:rPr>
      </w:pPr>
      <w:r w:rsidRPr="00C14C06">
        <w:rPr>
          <w:rFonts w:cs="Arial"/>
          <w:noProof/>
          <w:sz w:val="20"/>
          <w:szCs w:val="20"/>
        </w:rPr>
        <w:t>À la suite de cet incident, M</w:t>
      </w:r>
      <w:r w:rsidRPr="00C14C06">
        <w:rPr>
          <w:rFonts w:cs="Arial"/>
          <w:noProof/>
          <w:sz w:val="20"/>
          <w:szCs w:val="20"/>
          <w:vertAlign w:val="superscript"/>
        </w:rPr>
        <w:t>me</w:t>
      </w:r>
      <w:r w:rsidRPr="00C14C06">
        <w:rPr>
          <w:rFonts w:cs="Arial"/>
          <w:noProof/>
          <w:sz w:val="20"/>
          <w:szCs w:val="20"/>
        </w:rPr>
        <w:t xml:space="preserve"> Berthod s’inquiète quant au risque que ce type de situation se reproduise. Elle vous demande donc de réaliser un diagnostic complet du risque client de l’entreprise.</w:t>
      </w:r>
      <w:r w:rsidRPr="00AE2C64">
        <w:rPr>
          <w:rFonts w:cs="Arial"/>
          <w:noProof/>
          <w:sz w:val="20"/>
          <w:szCs w:val="20"/>
        </w:rPr>
        <w:t xml:space="preserve"> Elle vous transmet, le 31 mars, </w:t>
      </w:r>
      <w:r w:rsidRPr="00C14C06">
        <w:rPr>
          <w:rFonts w:cs="Arial"/>
          <w:noProof/>
          <w:sz w:val="20"/>
          <w:szCs w:val="20"/>
        </w:rPr>
        <w:t>l’échéancier des ventes à crédit effectuées depuis le 1</w:t>
      </w:r>
      <w:r w:rsidRPr="00AE2C64">
        <w:rPr>
          <w:rFonts w:cs="Arial"/>
          <w:noProof/>
          <w:sz w:val="20"/>
          <w:szCs w:val="20"/>
          <w:vertAlign w:val="superscript"/>
        </w:rPr>
        <w:t>er</w:t>
      </w:r>
      <w:r w:rsidRPr="00AE2C64">
        <w:rPr>
          <w:rFonts w:cs="Arial"/>
          <w:noProof/>
          <w:sz w:val="20"/>
          <w:szCs w:val="20"/>
        </w:rPr>
        <w:t xml:space="preserve"> </w:t>
      </w:r>
      <w:r w:rsidRPr="00C14C06">
        <w:rPr>
          <w:rFonts w:cs="Arial"/>
          <w:noProof/>
          <w:sz w:val="20"/>
          <w:szCs w:val="20"/>
        </w:rPr>
        <w:t>janvier (fichier source Excel). À noter : les ventes réglées comptant n’y figurent pas.</w:t>
      </w:r>
    </w:p>
    <w:p w14:paraId="33550EB5" w14:textId="77777777" w:rsidR="00AE2C64" w:rsidRPr="00AE2C64" w:rsidRDefault="00AE2C64" w:rsidP="00AE2C64">
      <w:pPr>
        <w:rPr>
          <w:sz w:val="20"/>
          <w:szCs w:val="20"/>
        </w:rPr>
      </w:pPr>
    </w:p>
    <w:p w14:paraId="61220613" w14:textId="77777777" w:rsidR="00AE2C64" w:rsidRPr="00D5004F" w:rsidRDefault="00AE2C64" w:rsidP="00AE2C64">
      <w:pPr>
        <w:jc w:val="center"/>
        <w:rPr>
          <w:b/>
          <w:bCs/>
          <w:i/>
          <w:iCs/>
          <w:sz w:val="18"/>
          <w:szCs w:val="20"/>
        </w:rPr>
      </w:pPr>
      <w:r w:rsidRPr="00D5004F">
        <w:rPr>
          <w:b/>
          <w:bCs/>
          <w:i/>
          <w:iCs/>
          <w:sz w:val="18"/>
          <w:szCs w:val="20"/>
        </w:rPr>
        <w:t>Extrait  de la base de données</w:t>
      </w:r>
    </w:p>
    <w:p w14:paraId="714FFC50" w14:textId="77777777" w:rsidR="00AE2C64" w:rsidRDefault="00AE2C64" w:rsidP="00AE2C64">
      <w:pPr>
        <w:autoSpaceDE w:val="0"/>
        <w:autoSpaceDN w:val="0"/>
        <w:adjustRightInd w:val="0"/>
        <w:rPr>
          <w:rFonts w:cs="Arial"/>
          <w:b/>
          <w:szCs w:val="18"/>
          <w:lang w:eastAsia="fr-FR"/>
        </w:rPr>
      </w:pPr>
      <w:r>
        <w:rPr>
          <w:rFonts w:cs="Arial"/>
          <w:b/>
          <w:noProof/>
          <w:szCs w:val="18"/>
          <w:lang w:eastAsia="fr-FR"/>
        </w:rPr>
        <w:drawing>
          <wp:inline distT="0" distB="0" distL="0" distR="0" wp14:anchorId="46AC0ECB" wp14:editId="568D67A1">
            <wp:extent cx="6299835" cy="2338070"/>
            <wp:effectExtent l="0" t="0" r="5715" b="5080"/>
            <wp:docPr id="31" name="Image 31"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1" descr="Une image contenant table&#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9835" cy="2338070"/>
                    </a:xfrm>
                    <a:prstGeom prst="rect">
                      <a:avLst/>
                    </a:prstGeom>
                  </pic:spPr>
                </pic:pic>
              </a:graphicData>
            </a:graphic>
          </wp:inline>
        </w:drawing>
      </w:r>
    </w:p>
    <w:p w14:paraId="248F7B1B" w14:textId="77777777" w:rsidR="00AE2C64" w:rsidRPr="00AE2C64" w:rsidRDefault="00AE2C64" w:rsidP="00AE2C64">
      <w:pPr>
        <w:pStyle w:val="Titre2"/>
        <w:spacing w:before="360"/>
        <w:rPr>
          <w:noProof/>
          <w:sz w:val="24"/>
          <w:szCs w:val="18"/>
        </w:rPr>
      </w:pPr>
      <w:r w:rsidRPr="00AE2C64">
        <w:rPr>
          <w:noProof/>
          <w:sz w:val="24"/>
          <w:szCs w:val="18"/>
        </w:rPr>
        <w:t>Travail à faire</w:t>
      </w:r>
    </w:p>
    <w:p w14:paraId="2F727FF8" w14:textId="77777777" w:rsidR="00AE2C64" w:rsidRPr="00AE2C64" w:rsidRDefault="00AE2C64" w:rsidP="00AE2C64">
      <w:pPr>
        <w:autoSpaceDE w:val="0"/>
        <w:autoSpaceDN w:val="0"/>
        <w:adjustRightInd w:val="0"/>
        <w:ind w:left="284" w:hanging="284"/>
        <w:jc w:val="left"/>
        <w:rPr>
          <w:rFonts w:cs="Arial"/>
          <w:sz w:val="20"/>
          <w:szCs w:val="16"/>
          <w:lang w:eastAsia="fr-FR"/>
        </w:rPr>
      </w:pPr>
      <w:r w:rsidRPr="00AE2C64">
        <w:rPr>
          <w:rFonts w:cs="Arial"/>
          <w:bCs/>
          <w:sz w:val="20"/>
          <w:szCs w:val="16"/>
          <w:lang w:eastAsia="fr-FR"/>
        </w:rPr>
        <w:t>1. Analysez ces données au 31 mars et r</w:t>
      </w:r>
      <w:r w:rsidRPr="00AE2C64">
        <w:rPr>
          <w:rFonts w:cs="Arial"/>
          <w:sz w:val="20"/>
          <w:szCs w:val="16"/>
          <w:lang w:eastAsia="fr-FR"/>
        </w:rPr>
        <w:t>emettez votre analyse à M</w:t>
      </w:r>
      <w:r w:rsidRPr="00AE2C64">
        <w:rPr>
          <w:rFonts w:cs="Arial"/>
          <w:sz w:val="20"/>
          <w:szCs w:val="16"/>
          <w:vertAlign w:val="superscript"/>
          <w:lang w:eastAsia="fr-FR"/>
        </w:rPr>
        <w:t>me</w:t>
      </w:r>
      <w:r w:rsidRPr="00AE2C64">
        <w:rPr>
          <w:rFonts w:cs="Arial"/>
          <w:sz w:val="20"/>
          <w:szCs w:val="16"/>
          <w:lang w:eastAsia="fr-FR"/>
        </w:rPr>
        <w:t xml:space="preserve"> Berthod sous la forme d’une note d’information, qui fera ressortir les éléments suivants :</w:t>
      </w:r>
    </w:p>
    <w:p w14:paraId="56A419AB" w14:textId="77777777" w:rsidR="00AE2C64" w:rsidRPr="00AE2C64" w:rsidRDefault="00AE2C64" w:rsidP="00AE2C64">
      <w:pPr>
        <w:pStyle w:val="Paragraphedeliste"/>
        <w:numPr>
          <w:ilvl w:val="0"/>
          <w:numId w:val="10"/>
        </w:numPr>
        <w:autoSpaceDE w:val="0"/>
        <w:autoSpaceDN w:val="0"/>
        <w:adjustRightInd w:val="0"/>
        <w:ind w:left="567" w:hanging="284"/>
        <w:rPr>
          <w:rFonts w:cs="Arial"/>
          <w:sz w:val="20"/>
          <w:szCs w:val="16"/>
          <w:lang w:eastAsia="fr-FR"/>
        </w:rPr>
      </w:pPr>
      <w:r w:rsidRPr="00AE2C64">
        <w:rPr>
          <w:rFonts w:cs="Arial"/>
          <w:sz w:val="20"/>
          <w:szCs w:val="16"/>
          <w:lang w:eastAsia="fr-FR"/>
        </w:rPr>
        <w:t>le montant des impayés en valeur absolue et en pourcentage des ventes totales facturées ;</w:t>
      </w:r>
    </w:p>
    <w:p w14:paraId="7079A762" w14:textId="77777777" w:rsidR="00AE2C64" w:rsidRPr="00AE2C64" w:rsidRDefault="00AE2C64" w:rsidP="00AE2C64">
      <w:pPr>
        <w:pStyle w:val="Paragraphedeliste"/>
        <w:numPr>
          <w:ilvl w:val="0"/>
          <w:numId w:val="10"/>
        </w:numPr>
        <w:autoSpaceDE w:val="0"/>
        <w:autoSpaceDN w:val="0"/>
        <w:adjustRightInd w:val="0"/>
        <w:ind w:left="567" w:hanging="284"/>
        <w:rPr>
          <w:rFonts w:cs="Arial"/>
          <w:sz w:val="20"/>
          <w:szCs w:val="16"/>
          <w:lang w:eastAsia="fr-FR"/>
        </w:rPr>
      </w:pPr>
      <w:r w:rsidRPr="00AE2C64">
        <w:rPr>
          <w:rFonts w:cs="Arial"/>
          <w:sz w:val="20"/>
          <w:szCs w:val="16"/>
          <w:lang w:eastAsia="fr-FR"/>
        </w:rPr>
        <w:t>le nombre de factures impayées en valeur absolue et en pourcentage des ventes totales facturées ;</w:t>
      </w:r>
    </w:p>
    <w:p w14:paraId="06175AE2" w14:textId="77777777" w:rsidR="00AE2C64" w:rsidRPr="00AE2C64" w:rsidRDefault="00AE2C64" w:rsidP="00AE2C64">
      <w:pPr>
        <w:pStyle w:val="Paragraphedeliste"/>
        <w:numPr>
          <w:ilvl w:val="0"/>
          <w:numId w:val="10"/>
        </w:numPr>
        <w:autoSpaceDE w:val="0"/>
        <w:autoSpaceDN w:val="0"/>
        <w:adjustRightInd w:val="0"/>
        <w:ind w:left="567" w:hanging="284"/>
        <w:rPr>
          <w:rFonts w:cs="Arial"/>
          <w:sz w:val="20"/>
          <w:szCs w:val="16"/>
          <w:lang w:eastAsia="fr-FR"/>
        </w:rPr>
      </w:pPr>
      <w:r w:rsidRPr="00AE2C64">
        <w:rPr>
          <w:rFonts w:cs="Arial"/>
          <w:sz w:val="20"/>
          <w:szCs w:val="16"/>
          <w:lang w:eastAsia="fr-FR"/>
        </w:rPr>
        <w:t>la répartition des impayés par client.</w:t>
      </w:r>
    </w:p>
    <w:p w14:paraId="49064261" w14:textId="77777777" w:rsidR="00AE2C64" w:rsidRPr="00AE2C64" w:rsidRDefault="00AE2C64" w:rsidP="00AE2C64">
      <w:pPr>
        <w:autoSpaceDE w:val="0"/>
        <w:autoSpaceDN w:val="0"/>
        <w:adjustRightInd w:val="0"/>
        <w:rPr>
          <w:rFonts w:cs="Arial"/>
          <w:sz w:val="20"/>
          <w:szCs w:val="16"/>
          <w:lang w:eastAsia="fr-FR"/>
        </w:rPr>
      </w:pPr>
    </w:p>
    <w:p w14:paraId="102D5883" w14:textId="77777777" w:rsidR="00AE2C64" w:rsidRPr="00C14C06" w:rsidRDefault="00AE2C64" w:rsidP="00AE2C64">
      <w:pPr>
        <w:autoSpaceDE w:val="0"/>
        <w:autoSpaceDN w:val="0"/>
        <w:adjustRightInd w:val="0"/>
        <w:spacing w:before="120"/>
        <w:rPr>
          <w:rFonts w:cs="Arial"/>
          <w:sz w:val="20"/>
          <w:szCs w:val="16"/>
          <w:lang w:eastAsia="fr-FR"/>
        </w:rPr>
      </w:pPr>
      <w:r w:rsidRPr="00C14C06">
        <w:rPr>
          <w:rFonts w:cs="Arial"/>
          <w:sz w:val="20"/>
          <w:szCs w:val="16"/>
          <w:lang w:eastAsia="fr-FR"/>
        </w:rPr>
        <w:t>Ces impayés ont fragilisé la trésorerie de l’entreprise. Pour y faire face, M</w:t>
      </w:r>
      <w:r w:rsidRPr="00C14C06">
        <w:rPr>
          <w:rFonts w:cs="Arial"/>
          <w:sz w:val="20"/>
          <w:szCs w:val="16"/>
          <w:vertAlign w:val="superscript"/>
          <w:lang w:eastAsia="fr-FR"/>
        </w:rPr>
        <w:t>me</w:t>
      </w:r>
      <w:r w:rsidRPr="00C14C06">
        <w:rPr>
          <w:rFonts w:cs="Arial"/>
          <w:sz w:val="20"/>
          <w:szCs w:val="16"/>
          <w:lang w:eastAsia="fr-FR"/>
        </w:rPr>
        <w:t xml:space="preserve"> Berthod a négocié avec la banque une autorisation de découvert dont le plafond est fixé à 15 000 €. À ce jour, l’entreprise a utilisé ce découvert à hauteur de 10 000 € pendant une durée de 20 jours. La banque applique un taux d’intérêt de 15 %, et des frais de dossier de 50 € sont facturés pour la mise en place de l’autorisation.</w:t>
      </w:r>
    </w:p>
    <w:p w14:paraId="36A941D4" w14:textId="62EA6E11" w:rsidR="00AE2C64" w:rsidRPr="00C14C06" w:rsidRDefault="00AE2C64" w:rsidP="00AE2C64">
      <w:pPr>
        <w:autoSpaceDE w:val="0"/>
        <w:autoSpaceDN w:val="0"/>
        <w:adjustRightInd w:val="0"/>
        <w:spacing w:before="120"/>
        <w:rPr>
          <w:rFonts w:cs="Arial"/>
          <w:sz w:val="20"/>
          <w:szCs w:val="16"/>
          <w:lang w:eastAsia="fr-FR"/>
        </w:rPr>
      </w:pPr>
      <w:r w:rsidRPr="00C14C06">
        <w:rPr>
          <w:rFonts w:cs="Arial"/>
          <w:sz w:val="20"/>
          <w:szCs w:val="16"/>
          <w:lang w:eastAsia="fr-FR"/>
        </w:rPr>
        <w:t>Par ailleurs, M</w:t>
      </w:r>
      <w:r w:rsidRPr="00C14C06">
        <w:rPr>
          <w:rFonts w:cs="Arial"/>
          <w:sz w:val="20"/>
          <w:szCs w:val="16"/>
          <w:vertAlign w:val="superscript"/>
          <w:lang w:eastAsia="fr-FR"/>
        </w:rPr>
        <w:t>me</w:t>
      </w:r>
      <w:r w:rsidRPr="00C14C06">
        <w:rPr>
          <w:rFonts w:cs="Arial"/>
          <w:sz w:val="20"/>
          <w:szCs w:val="16"/>
          <w:lang w:eastAsia="fr-FR"/>
        </w:rPr>
        <w:t xml:space="preserve"> Berthod a consacré 2 jours (14 heures) à la gestion des impayés et à son entretien avec le banquier. Son salaire brut mensuel est de </w:t>
      </w:r>
      <w:r w:rsidRPr="00AE2C64">
        <w:rPr>
          <w:rFonts w:cs="Arial"/>
          <w:sz w:val="20"/>
          <w:szCs w:val="16"/>
          <w:lang w:eastAsia="fr-FR"/>
        </w:rPr>
        <w:t xml:space="preserve">3 </w:t>
      </w:r>
      <w:r w:rsidR="00EF26CF">
        <w:rPr>
          <w:rFonts w:cs="Arial"/>
          <w:sz w:val="20"/>
          <w:szCs w:val="16"/>
          <w:lang w:eastAsia="fr-FR"/>
        </w:rPr>
        <w:t>2</w:t>
      </w:r>
      <w:r w:rsidRPr="00C14C06">
        <w:rPr>
          <w:rFonts w:cs="Arial"/>
          <w:sz w:val="20"/>
          <w:szCs w:val="16"/>
          <w:lang w:eastAsia="fr-FR"/>
        </w:rPr>
        <w:t>00 €, auxquels s’ajoutent 60 % de charges patronales.</w:t>
      </w:r>
    </w:p>
    <w:p w14:paraId="164F2A40" w14:textId="77777777" w:rsidR="00AE2C64" w:rsidRPr="00AE2C64" w:rsidRDefault="00AE2C64" w:rsidP="00AE2C64">
      <w:pPr>
        <w:autoSpaceDE w:val="0"/>
        <w:autoSpaceDN w:val="0"/>
        <w:adjustRightInd w:val="0"/>
        <w:rPr>
          <w:rFonts w:cs="Arial"/>
          <w:sz w:val="20"/>
          <w:szCs w:val="16"/>
          <w:lang w:eastAsia="fr-FR"/>
        </w:rPr>
      </w:pPr>
    </w:p>
    <w:p w14:paraId="7614909E" w14:textId="77777777" w:rsidR="00AE2C64" w:rsidRPr="00AE2C64" w:rsidRDefault="00AE2C64" w:rsidP="00AE2C64">
      <w:pPr>
        <w:autoSpaceDE w:val="0"/>
        <w:autoSpaceDN w:val="0"/>
        <w:adjustRightInd w:val="0"/>
        <w:rPr>
          <w:rFonts w:cs="Arial"/>
          <w:bCs/>
          <w:sz w:val="20"/>
          <w:szCs w:val="16"/>
          <w:lang w:eastAsia="fr-FR"/>
        </w:rPr>
      </w:pPr>
      <w:r w:rsidRPr="00AE2C64">
        <w:rPr>
          <w:rFonts w:cs="Arial"/>
          <w:bCs/>
          <w:sz w:val="20"/>
          <w:szCs w:val="16"/>
          <w:lang w:eastAsia="fr-FR"/>
        </w:rPr>
        <w:t>2. Calculez le coût du découvert bancaire induit par les impayés.</w:t>
      </w:r>
    </w:p>
    <w:p w14:paraId="0DFD0685" w14:textId="77777777" w:rsidR="00AE2C64" w:rsidRPr="00AE2C64" w:rsidRDefault="00AE2C64" w:rsidP="00AE2C64">
      <w:pPr>
        <w:autoSpaceDE w:val="0"/>
        <w:autoSpaceDN w:val="0"/>
        <w:adjustRightInd w:val="0"/>
        <w:rPr>
          <w:rFonts w:cs="Arial"/>
          <w:sz w:val="20"/>
          <w:szCs w:val="16"/>
          <w:lang w:eastAsia="fr-FR"/>
        </w:rPr>
      </w:pPr>
    </w:p>
    <w:p w14:paraId="3EEFDF61" w14:textId="77777777" w:rsidR="00AE2C64" w:rsidRDefault="00AE2C64" w:rsidP="00AE2C64">
      <w:pPr>
        <w:autoSpaceDE w:val="0"/>
        <w:autoSpaceDN w:val="0"/>
        <w:adjustRightInd w:val="0"/>
        <w:rPr>
          <w:rFonts w:cs="Arial"/>
          <w:szCs w:val="18"/>
          <w:lang w:eastAsia="fr-FR"/>
        </w:rPr>
      </w:pPr>
    </w:p>
    <w:p w14:paraId="20F2F0E0" w14:textId="77777777" w:rsidR="00AE2C64" w:rsidRDefault="00AE2C64" w:rsidP="00AE2C64">
      <w:pPr>
        <w:autoSpaceDE w:val="0"/>
        <w:autoSpaceDN w:val="0"/>
        <w:adjustRightInd w:val="0"/>
        <w:rPr>
          <w:rFonts w:cs="Arial"/>
          <w:szCs w:val="18"/>
          <w:lang w:eastAsia="fr-FR"/>
        </w:rPr>
      </w:pPr>
    </w:p>
    <w:p w14:paraId="63B1C3C0" w14:textId="77777777" w:rsidR="00AE2C64" w:rsidRDefault="00AE2C64" w:rsidP="00AE2C64">
      <w:pPr>
        <w:autoSpaceDE w:val="0"/>
        <w:autoSpaceDN w:val="0"/>
        <w:adjustRightInd w:val="0"/>
        <w:rPr>
          <w:rFonts w:cs="Arial"/>
          <w:szCs w:val="18"/>
          <w:lang w:eastAsia="fr-FR"/>
        </w:rPr>
      </w:pPr>
    </w:p>
    <w:p w14:paraId="745DED2C" w14:textId="77777777" w:rsidR="00AE2C64" w:rsidRDefault="00AE2C64" w:rsidP="00AE2C64">
      <w:pPr>
        <w:autoSpaceDE w:val="0"/>
        <w:autoSpaceDN w:val="0"/>
        <w:adjustRightInd w:val="0"/>
        <w:rPr>
          <w:rFonts w:cs="Arial"/>
          <w:szCs w:val="18"/>
          <w:lang w:eastAsia="fr-FR"/>
        </w:rPr>
      </w:pPr>
    </w:p>
    <w:p w14:paraId="6CE55DE2" w14:textId="77777777" w:rsidR="00AE2C64" w:rsidRDefault="00AE2C64" w:rsidP="00AE2C64">
      <w:pPr>
        <w:autoSpaceDE w:val="0"/>
        <w:autoSpaceDN w:val="0"/>
        <w:adjustRightInd w:val="0"/>
        <w:rPr>
          <w:rFonts w:cs="Arial"/>
          <w:szCs w:val="18"/>
          <w:lang w:eastAsia="fr-FR"/>
        </w:rPr>
      </w:pPr>
    </w:p>
    <w:p w14:paraId="1ECDA4AC" w14:textId="77777777" w:rsidR="00AE2C64" w:rsidRDefault="00AE2C64" w:rsidP="00AE2C64">
      <w:pPr>
        <w:autoSpaceDE w:val="0"/>
        <w:autoSpaceDN w:val="0"/>
        <w:adjustRightInd w:val="0"/>
        <w:rPr>
          <w:rFonts w:cs="Arial"/>
          <w:szCs w:val="18"/>
          <w:lang w:eastAsia="fr-FR"/>
        </w:rPr>
      </w:pPr>
    </w:p>
    <w:p w14:paraId="092B8E21" w14:textId="77777777" w:rsidR="00AE2C64" w:rsidRDefault="00AE2C64" w:rsidP="00AE2C64">
      <w:pPr>
        <w:autoSpaceDE w:val="0"/>
        <w:autoSpaceDN w:val="0"/>
        <w:adjustRightInd w:val="0"/>
        <w:rPr>
          <w:rFonts w:cs="Arial"/>
          <w:szCs w:val="18"/>
          <w:lang w:eastAsia="fr-FR"/>
        </w:rPr>
      </w:pPr>
    </w:p>
    <w:p w14:paraId="164B523F" w14:textId="77777777" w:rsidR="00AE2C64" w:rsidRDefault="00AE2C64" w:rsidP="00AE2C64">
      <w:pPr>
        <w:autoSpaceDE w:val="0"/>
        <w:autoSpaceDN w:val="0"/>
        <w:adjustRightInd w:val="0"/>
        <w:rPr>
          <w:rFonts w:cs="Arial"/>
          <w:szCs w:val="18"/>
          <w:lang w:eastAsia="fr-FR"/>
        </w:rPr>
      </w:pPr>
    </w:p>
    <w:p w14:paraId="5236571B" w14:textId="77777777" w:rsidR="00AE2C64" w:rsidRDefault="00AE2C64" w:rsidP="00AE2C64">
      <w:pPr>
        <w:autoSpaceDE w:val="0"/>
        <w:autoSpaceDN w:val="0"/>
        <w:adjustRightInd w:val="0"/>
        <w:rPr>
          <w:rFonts w:cs="Arial"/>
          <w:szCs w:val="18"/>
          <w:lang w:eastAsia="fr-FR"/>
        </w:rPr>
      </w:pPr>
    </w:p>
    <w:bookmarkEnd w:id="0"/>
    <w:p w14:paraId="13595585" w14:textId="77777777" w:rsidR="00AE2C64" w:rsidRDefault="00AE2C64" w:rsidP="00AE2C64">
      <w:pPr>
        <w:autoSpaceDE w:val="0"/>
        <w:autoSpaceDN w:val="0"/>
        <w:adjustRightInd w:val="0"/>
        <w:rPr>
          <w:rFonts w:cs="Arial"/>
          <w:b/>
          <w:szCs w:val="18"/>
          <w:lang w:eastAsia="fr-FR"/>
        </w:rPr>
      </w:pPr>
    </w:p>
    <w:p w14:paraId="65329B84" w14:textId="07750AE4" w:rsidR="00AE2C64" w:rsidRPr="00AE2C64" w:rsidRDefault="00AE2C64" w:rsidP="00AE2C64">
      <w:pPr>
        <w:autoSpaceDE w:val="0"/>
        <w:autoSpaceDN w:val="0"/>
        <w:adjustRightInd w:val="0"/>
        <w:spacing w:after="120"/>
        <w:rPr>
          <w:rFonts w:cs="Arial"/>
          <w:b/>
          <w:sz w:val="24"/>
          <w:szCs w:val="20"/>
          <w:lang w:eastAsia="fr-FR"/>
        </w:rPr>
      </w:pPr>
      <w:r w:rsidRPr="00AE2C64">
        <w:rPr>
          <w:rFonts w:cs="Arial"/>
          <w:b/>
          <w:sz w:val="24"/>
          <w:szCs w:val="20"/>
          <w:lang w:eastAsia="fr-FR"/>
        </w:rPr>
        <w:lastRenderedPageBreak/>
        <w:t>Réponses</w:t>
      </w:r>
    </w:p>
    <w:p w14:paraId="0A7B39AC" w14:textId="77777777" w:rsidR="00AE2C64" w:rsidRPr="00AE2C64" w:rsidRDefault="00AE2C64" w:rsidP="00AE2C64">
      <w:pPr>
        <w:autoSpaceDE w:val="0"/>
        <w:autoSpaceDN w:val="0"/>
        <w:adjustRightInd w:val="0"/>
        <w:ind w:left="284" w:hanging="284"/>
        <w:jc w:val="left"/>
        <w:rPr>
          <w:rFonts w:cs="Arial"/>
          <w:b/>
          <w:szCs w:val="18"/>
          <w:lang w:eastAsia="fr-FR"/>
        </w:rPr>
      </w:pPr>
      <w:r w:rsidRPr="00AE2C64">
        <w:rPr>
          <w:rFonts w:cs="Arial"/>
          <w:b/>
          <w:szCs w:val="18"/>
          <w:lang w:eastAsia="fr-FR"/>
        </w:rPr>
        <w:t>1. Analysez ces données au 31 mars et remettez votre analyse à M</w:t>
      </w:r>
      <w:r w:rsidRPr="00AE2C64">
        <w:rPr>
          <w:rFonts w:cs="Arial"/>
          <w:b/>
          <w:szCs w:val="18"/>
          <w:vertAlign w:val="superscript"/>
          <w:lang w:eastAsia="fr-FR"/>
        </w:rPr>
        <w:t>me</w:t>
      </w:r>
      <w:r w:rsidRPr="00AE2C64">
        <w:rPr>
          <w:rFonts w:cs="Arial"/>
          <w:b/>
          <w:szCs w:val="18"/>
          <w:lang w:eastAsia="fr-FR"/>
        </w:rPr>
        <w:t xml:space="preserve"> Berthod sous la forme d’une note d’information, qui fera ressortir les éléments suivants :</w:t>
      </w:r>
    </w:p>
    <w:p w14:paraId="3460430B" w14:textId="77777777" w:rsidR="00AE2C64" w:rsidRPr="00AE2C64" w:rsidRDefault="00AE2C64" w:rsidP="00AE2C64">
      <w:pPr>
        <w:pStyle w:val="Paragraphedeliste"/>
        <w:numPr>
          <w:ilvl w:val="0"/>
          <w:numId w:val="10"/>
        </w:numPr>
        <w:autoSpaceDE w:val="0"/>
        <w:autoSpaceDN w:val="0"/>
        <w:adjustRightInd w:val="0"/>
        <w:ind w:left="567" w:hanging="284"/>
        <w:rPr>
          <w:rFonts w:cs="Arial"/>
          <w:b/>
          <w:szCs w:val="18"/>
          <w:lang w:eastAsia="fr-FR"/>
        </w:rPr>
      </w:pPr>
      <w:r w:rsidRPr="00AE2C64">
        <w:rPr>
          <w:rFonts w:cs="Arial"/>
          <w:b/>
          <w:szCs w:val="18"/>
          <w:lang w:eastAsia="fr-FR"/>
        </w:rPr>
        <w:t>le montant des impayés en valeur absolue et en pourcentage des ventes totales facturées ;</w:t>
      </w:r>
    </w:p>
    <w:p w14:paraId="6BF8C261" w14:textId="77777777" w:rsidR="00AE2C64" w:rsidRPr="00AE2C64" w:rsidRDefault="00AE2C64" w:rsidP="00AE2C64">
      <w:pPr>
        <w:pStyle w:val="Paragraphedeliste"/>
        <w:numPr>
          <w:ilvl w:val="0"/>
          <w:numId w:val="10"/>
        </w:numPr>
        <w:autoSpaceDE w:val="0"/>
        <w:autoSpaceDN w:val="0"/>
        <w:adjustRightInd w:val="0"/>
        <w:ind w:left="567" w:hanging="284"/>
        <w:rPr>
          <w:rFonts w:cs="Arial"/>
          <w:b/>
          <w:szCs w:val="18"/>
          <w:lang w:eastAsia="fr-FR"/>
        </w:rPr>
      </w:pPr>
      <w:r w:rsidRPr="00AE2C64">
        <w:rPr>
          <w:rFonts w:cs="Arial"/>
          <w:b/>
          <w:szCs w:val="18"/>
          <w:lang w:eastAsia="fr-FR"/>
        </w:rPr>
        <w:t>le nombre de factures impayées en valeur absolue et en pourcentage des ventes totales facturées ;</w:t>
      </w:r>
    </w:p>
    <w:p w14:paraId="4145E4B8" w14:textId="77777777" w:rsidR="00AE2C64" w:rsidRPr="00AE2C64" w:rsidRDefault="00AE2C64" w:rsidP="00AE2C64">
      <w:pPr>
        <w:pStyle w:val="Paragraphedeliste"/>
        <w:numPr>
          <w:ilvl w:val="0"/>
          <w:numId w:val="10"/>
        </w:numPr>
        <w:autoSpaceDE w:val="0"/>
        <w:autoSpaceDN w:val="0"/>
        <w:adjustRightInd w:val="0"/>
        <w:ind w:left="567" w:hanging="284"/>
        <w:rPr>
          <w:rFonts w:cs="Arial"/>
          <w:b/>
          <w:szCs w:val="18"/>
          <w:lang w:eastAsia="fr-FR"/>
        </w:rPr>
      </w:pPr>
      <w:r w:rsidRPr="00AE2C64">
        <w:rPr>
          <w:rFonts w:cs="Arial"/>
          <w:b/>
          <w:szCs w:val="18"/>
          <w:lang w:eastAsia="fr-FR"/>
        </w:rPr>
        <w:t>la répartition des impayés par client.</w:t>
      </w:r>
    </w:p>
    <w:p w14:paraId="31644CD3" w14:textId="77777777" w:rsidR="00AE2C64" w:rsidRDefault="00AE2C64" w:rsidP="00AE2C64">
      <w:pPr>
        <w:rPr>
          <w:sz w:val="20"/>
          <w:szCs w:val="20"/>
          <w:lang w:eastAsia="fr-FR"/>
        </w:rPr>
      </w:pPr>
    </w:p>
    <w:p w14:paraId="5EA6FE35" w14:textId="77777777" w:rsidR="00AE2C64" w:rsidRDefault="00AE2C64" w:rsidP="00AE2C64">
      <w:pPr>
        <w:rPr>
          <w:sz w:val="20"/>
          <w:szCs w:val="20"/>
          <w:lang w:eastAsia="fr-FR"/>
        </w:rPr>
      </w:pPr>
    </w:p>
    <w:p w14:paraId="288567CD" w14:textId="77777777" w:rsidR="00AE2C64" w:rsidRDefault="00AE2C64" w:rsidP="00AE2C64">
      <w:pPr>
        <w:rPr>
          <w:sz w:val="20"/>
          <w:szCs w:val="20"/>
          <w:lang w:eastAsia="fr-FR"/>
        </w:rPr>
      </w:pPr>
    </w:p>
    <w:p w14:paraId="15429BB1" w14:textId="77777777" w:rsidR="00AE2C64" w:rsidRDefault="00AE2C64" w:rsidP="00AE2C64">
      <w:pPr>
        <w:rPr>
          <w:sz w:val="20"/>
          <w:szCs w:val="20"/>
          <w:lang w:eastAsia="fr-FR"/>
        </w:rPr>
      </w:pPr>
    </w:p>
    <w:p w14:paraId="4CC095CB" w14:textId="77777777" w:rsidR="00AE2C64" w:rsidRDefault="00AE2C64" w:rsidP="00AE2C64">
      <w:pPr>
        <w:rPr>
          <w:sz w:val="20"/>
          <w:szCs w:val="20"/>
          <w:lang w:eastAsia="fr-FR"/>
        </w:rPr>
      </w:pPr>
    </w:p>
    <w:p w14:paraId="032F9015" w14:textId="77777777" w:rsidR="00AE2C64" w:rsidRDefault="00AE2C64" w:rsidP="00AE2C64">
      <w:pPr>
        <w:rPr>
          <w:sz w:val="20"/>
          <w:szCs w:val="20"/>
          <w:lang w:eastAsia="fr-FR"/>
        </w:rPr>
      </w:pPr>
    </w:p>
    <w:p w14:paraId="5571DC59" w14:textId="77777777" w:rsidR="00AE2C64" w:rsidRPr="00AE2C64" w:rsidRDefault="00AE2C64" w:rsidP="00AE2C64">
      <w:pPr>
        <w:rPr>
          <w:sz w:val="20"/>
          <w:szCs w:val="20"/>
          <w:lang w:eastAsia="fr-FR"/>
        </w:rPr>
      </w:pPr>
    </w:p>
    <w:p w14:paraId="14F5EDBB" w14:textId="77777777" w:rsidR="00AE2C64" w:rsidRPr="00AE2C64" w:rsidRDefault="00AE2C64" w:rsidP="00AE2C64">
      <w:pPr>
        <w:rPr>
          <w:sz w:val="20"/>
          <w:szCs w:val="20"/>
          <w:lang w:eastAsia="fr-FR"/>
        </w:rPr>
      </w:pPr>
    </w:p>
    <w:p w14:paraId="3A32F7F1" w14:textId="77777777" w:rsidR="00AE2C64" w:rsidRPr="00AE2C64" w:rsidRDefault="00AE2C64" w:rsidP="00AE2C64">
      <w:pPr>
        <w:autoSpaceDE w:val="0"/>
        <w:autoSpaceDN w:val="0"/>
        <w:adjustRightInd w:val="0"/>
        <w:rPr>
          <w:rFonts w:cs="Arial"/>
          <w:sz w:val="20"/>
          <w:szCs w:val="16"/>
          <w:lang w:eastAsia="fr-FR"/>
        </w:rPr>
      </w:pPr>
    </w:p>
    <w:p w14:paraId="505EB037" w14:textId="77777777" w:rsidR="00AE2C64" w:rsidRPr="00AE2C64" w:rsidRDefault="00AE2C64" w:rsidP="00AE2C64">
      <w:pPr>
        <w:autoSpaceDE w:val="0"/>
        <w:autoSpaceDN w:val="0"/>
        <w:adjustRightInd w:val="0"/>
        <w:rPr>
          <w:rFonts w:cs="Arial"/>
          <w:b/>
          <w:szCs w:val="18"/>
          <w:lang w:eastAsia="fr-FR"/>
        </w:rPr>
      </w:pPr>
      <w:r w:rsidRPr="00AE2C64">
        <w:rPr>
          <w:rFonts w:cs="Arial"/>
          <w:b/>
          <w:szCs w:val="18"/>
          <w:lang w:eastAsia="fr-FR"/>
        </w:rPr>
        <w:t>2. Calculez le coût du découvert bancaire induit par les impayés.</w:t>
      </w:r>
    </w:p>
    <w:p w14:paraId="2B7389D3" w14:textId="77777777" w:rsidR="00AE2C64" w:rsidRDefault="00AE2C64" w:rsidP="00AE2C64">
      <w:pPr>
        <w:autoSpaceDE w:val="0"/>
        <w:autoSpaceDN w:val="0"/>
        <w:adjustRightInd w:val="0"/>
        <w:rPr>
          <w:rFonts w:cs="Arial"/>
          <w:b/>
          <w:sz w:val="20"/>
          <w:szCs w:val="16"/>
          <w:lang w:eastAsia="fr-FR"/>
        </w:rPr>
      </w:pPr>
    </w:p>
    <w:p w14:paraId="572EC9F3" w14:textId="77777777" w:rsidR="00AE2C64" w:rsidRDefault="00AE2C64" w:rsidP="00AE2C64">
      <w:pPr>
        <w:autoSpaceDE w:val="0"/>
        <w:autoSpaceDN w:val="0"/>
        <w:adjustRightInd w:val="0"/>
        <w:rPr>
          <w:rFonts w:cs="Arial"/>
          <w:b/>
          <w:sz w:val="20"/>
          <w:szCs w:val="16"/>
          <w:lang w:eastAsia="fr-FR"/>
        </w:rPr>
      </w:pPr>
    </w:p>
    <w:p w14:paraId="432F7E8D" w14:textId="77777777" w:rsidR="00AE2C64" w:rsidRDefault="00AE2C64" w:rsidP="00AE2C64">
      <w:pPr>
        <w:autoSpaceDE w:val="0"/>
        <w:autoSpaceDN w:val="0"/>
        <w:adjustRightInd w:val="0"/>
        <w:rPr>
          <w:rFonts w:cs="Arial"/>
          <w:b/>
          <w:sz w:val="20"/>
          <w:szCs w:val="16"/>
          <w:lang w:eastAsia="fr-FR"/>
        </w:rPr>
      </w:pPr>
    </w:p>
    <w:p w14:paraId="5335DD47" w14:textId="77777777" w:rsidR="00AE2C64" w:rsidRDefault="00AE2C64" w:rsidP="00AE2C64">
      <w:pPr>
        <w:autoSpaceDE w:val="0"/>
        <w:autoSpaceDN w:val="0"/>
        <w:adjustRightInd w:val="0"/>
        <w:rPr>
          <w:rFonts w:cs="Arial"/>
          <w:b/>
          <w:sz w:val="20"/>
          <w:szCs w:val="16"/>
          <w:lang w:eastAsia="fr-FR"/>
        </w:rPr>
      </w:pPr>
    </w:p>
    <w:p w14:paraId="6D5E331F" w14:textId="77777777" w:rsidR="00AE2C64" w:rsidRDefault="00AE2C64" w:rsidP="00AE2C64">
      <w:pPr>
        <w:autoSpaceDE w:val="0"/>
        <w:autoSpaceDN w:val="0"/>
        <w:adjustRightInd w:val="0"/>
        <w:rPr>
          <w:rFonts w:cs="Arial"/>
          <w:b/>
          <w:sz w:val="20"/>
          <w:szCs w:val="16"/>
          <w:lang w:eastAsia="fr-FR"/>
        </w:rPr>
      </w:pPr>
    </w:p>
    <w:p w14:paraId="05EAAB42" w14:textId="77777777" w:rsidR="00AE2C64" w:rsidRDefault="00AE2C64" w:rsidP="00AE2C64">
      <w:pPr>
        <w:autoSpaceDE w:val="0"/>
        <w:autoSpaceDN w:val="0"/>
        <w:adjustRightInd w:val="0"/>
        <w:rPr>
          <w:rFonts w:cs="Arial"/>
          <w:b/>
          <w:sz w:val="20"/>
          <w:szCs w:val="16"/>
          <w:lang w:eastAsia="fr-FR"/>
        </w:rPr>
      </w:pPr>
    </w:p>
    <w:p w14:paraId="477E6ED6" w14:textId="77777777" w:rsidR="00AE2C64" w:rsidRDefault="00AE2C64" w:rsidP="00AE2C64">
      <w:pPr>
        <w:autoSpaceDE w:val="0"/>
        <w:autoSpaceDN w:val="0"/>
        <w:adjustRightInd w:val="0"/>
        <w:rPr>
          <w:rFonts w:cs="Arial"/>
          <w:b/>
          <w:sz w:val="20"/>
          <w:szCs w:val="16"/>
          <w:lang w:eastAsia="fr-FR"/>
        </w:rPr>
      </w:pPr>
    </w:p>
    <w:p w14:paraId="33CAA088" w14:textId="77777777" w:rsidR="00AE2C64" w:rsidRDefault="00AE2C64" w:rsidP="00AE2C64">
      <w:pPr>
        <w:autoSpaceDE w:val="0"/>
        <w:autoSpaceDN w:val="0"/>
        <w:adjustRightInd w:val="0"/>
        <w:rPr>
          <w:rFonts w:cs="Arial"/>
          <w:b/>
          <w:sz w:val="20"/>
          <w:szCs w:val="16"/>
          <w:lang w:eastAsia="fr-FR"/>
        </w:rPr>
      </w:pPr>
    </w:p>
    <w:p w14:paraId="0462113F" w14:textId="77777777" w:rsidR="00AE2C64" w:rsidRDefault="00AE2C64" w:rsidP="00AE2C64">
      <w:pPr>
        <w:autoSpaceDE w:val="0"/>
        <w:autoSpaceDN w:val="0"/>
        <w:adjustRightInd w:val="0"/>
        <w:rPr>
          <w:rFonts w:cs="Arial"/>
          <w:b/>
          <w:sz w:val="20"/>
          <w:szCs w:val="16"/>
          <w:lang w:eastAsia="fr-FR"/>
        </w:rPr>
      </w:pPr>
    </w:p>
    <w:p w14:paraId="43D05A06" w14:textId="77777777" w:rsidR="00AE2C64" w:rsidRDefault="00AE2C64" w:rsidP="00AE2C64">
      <w:pPr>
        <w:autoSpaceDE w:val="0"/>
        <w:autoSpaceDN w:val="0"/>
        <w:adjustRightInd w:val="0"/>
        <w:rPr>
          <w:rFonts w:cs="Arial"/>
          <w:b/>
          <w:sz w:val="20"/>
          <w:szCs w:val="16"/>
          <w:lang w:eastAsia="fr-FR"/>
        </w:rPr>
      </w:pPr>
    </w:p>
    <w:p w14:paraId="30ABFA74" w14:textId="77777777" w:rsidR="00AE2C64" w:rsidRDefault="00AE2C64" w:rsidP="00AE2C64">
      <w:pPr>
        <w:autoSpaceDE w:val="0"/>
        <w:autoSpaceDN w:val="0"/>
        <w:adjustRightInd w:val="0"/>
        <w:rPr>
          <w:rFonts w:cs="Arial"/>
          <w:b/>
          <w:sz w:val="20"/>
          <w:szCs w:val="16"/>
          <w:lang w:eastAsia="fr-FR"/>
        </w:rPr>
      </w:pPr>
    </w:p>
    <w:p w14:paraId="2746DF52" w14:textId="77777777" w:rsidR="00AE2C64" w:rsidRDefault="00AE2C64" w:rsidP="00AE2C64">
      <w:pPr>
        <w:autoSpaceDE w:val="0"/>
        <w:autoSpaceDN w:val="0"/>
        <w:adjustRightInd w:val="0"/>
        <w:rPr>
          <w:rFonts w:cs="Arial"/>
          <w:b/>
          <w:sz w:val="20"/>
          <w:szCs w:val="16"/>
          <w:lang w:eastAsia="fr-FR"/>
        </w:rPr>
      </w:pPr>
    </w:p>
    <w:p w14:paraId="382B46E3" w14:textId="77777777" w:rsidR="00AE2C64" w:rsidRDefault="00AE2C64" w:rsidP="00AE2C64">
      <w:pPr>
        <w:autoSpaceDE w:val="0"/>
        <w:autoSpaceDN w:val="0"/>
        <w:adjustRightInd w:val="0"/>
        <w:rPr>
          <w:rFonts w:cs="Arial"/>
          <w:b/>
          <w:sz w:val="20"/>
          <w:szCs w:val="16"/>
          <w:lang w:eastAsia="fr-FR"/>
        </w:rPr>
      </w:pPr>
    </w:p>
    <w:p w14:paraId="34487A34" w14:textId="77777777" w:rsidR="00AE2C64" w:rsidRDefault="00AE2C64" w:rsidP="00AE2C64">
      <w:pPr>
        <w:autoSpaceDE w:val="0"/>
        <w:autoSpaceDN w:val="0"/>
        <w:adjustRightInd w:val="0"/>
        <w:rPr>
          <w:rFonts w:cs="Arial"/>
          <w:b/>
          <w:sz w:val="20"/>
          <w:szCs w:val="16"/>
          <w:lang w:eastAsia="fr-FR"/>
        </w:rPr>
      </w:pPr>
    </w:p>
    <w:p w14:paraId="13905CEC" w14:textId="77777777" w:rsidR="00AE2C64" w:rsidRDefault="00AE2C64" w:rsidP="00AE2C64">
      <w:pPr>
        <w:autoSpaceDE w:val="0"/>
        <w:autoSpaceDN w:val="0"/>
        <w:adjustRightInd w:val="0"/>
        <w:rPr>
          <w:rFonts w:cs="Arial"/>
          <w:b/>
          <w:sz w:val="20"/>
          <w:szCs w:val="16"/>
          <w:lang w:eastAsia="fr-FR"/>
        </w:rPr>
      </w:pPr>
    </w:p>
    <w:p w14:paraId="3609E79D" w14:textId="77777777" w:rsidR="00AE2C64" w:rsidRDefault="00AE2C64" w:rsidP="00AE2C64">
      <w:pPr>
        <w:autoSpaceDE w:val="0"/>
        <w:autoSpaceDN w:val="0"/>
        <w:adjustRightInd w:val="0"/>
        <w:rPr>
          <w:rFonts w:cs="Arial"/>
          <w:b/>
          <w:sz w:val="20"/>
          <w:szCs w:val="16"/>
          <w:lang w:eastAsia="fr-FR"/>
        </w:rPr>
      </w:pPr>
    </w:p>
    <w:p w14:paraId="71504091" w14:textId="77777777" w:rsidR="00AE2C64" w:rsidRPr="00AE2C64" w:rsidRDefault="00AE2C64" w:rsidP="00AE2C64">
      <w:pPr>
        <w:autoSpaceDE w:val="0"/>
        <w:autoSpaceDN w:val="0"/>
        <w:adjustRightInd w:val="0"/>
        <w:rPr>
          <w:rFonts w:cs="Arial"/>
          <w:b/>
          <w:sz w:val="20"/>
          <w:szCs w:val="16"/>
          <w:lang w:eastAsia="fr-FR"/>
        </w:rPr>
      </w:pPr>
    </w:p>
    <w:p w14:paraId="61850CBD" w14:textId="77777777" w:rsidR="00AE2C64" w:rsidRDefault="00AE2C64" w:rsidP="00AE2C64">
      <w:pPr>
        <w:autoSpaceDE w:val="0"/>
        <w:autoSpaceDN w:val="0"/>
        <w:adjustRightInd w:val="0"/>
        <w:rPr>
          <w:rFonts w:cs="Arial"/>
          <w:b/>
          <w:szCs w:val="18"/>
          <w:lang w:eastAsia="fr-FR"/>
        </w:rPr>
      </w:pPr>
    </w:p>
    <w:p w14:paraId="48469D2E" w14:textId="77777777" w:rsidR="00AE2C64" w:rsidRDefault="00AE2C64" w:rsidP="00AE2C64">
      <w:pPr>
        <w:autoSpaceDE w:val="0"/>
        <w:autoSpaceDN w:val="0"/>
        <w:adjustRightInd w:val="0"/>
        <w:rPr>
          <w:rFonts w:cs="Arial"/>
          <w:b/>
          <w:szCs w:val="18"/>
          <w:lang w:eastAsia="fr-FR"/>
        </w:rPr>
      </w:pPr>
    </w:p>
    <w:p w14:paraId="3DF7A100" w14:textId="77777777" w:rsidR="005C3D87" w:rsidRDefault="005C3D87" w:rsidP="005C3D87">
      <w:pPr>
        <w:autoSpaceDE w:val="0"/>
        <w:autoSpaceDN w:val="0"/>
        <w:adjustRightInd w:val="0"/>
        <w:rPr>
          <w:rFonts w:cs="Arial"/>
          <w:b/>
          <w:szCs w:val="18"/>
          <w:lang w:eastAsia="fr-FR"/>
        </w:rPr>
      </w:pPr>
    </w:p>
    <w:p w14:paraId="5FE850D8" w14:textId="77777777" w:rsidR="005C3D87" w:rsidRDefault="005C3D87" w:rsidP="005C3D87">
      <w:pPr>
        <w:autoSpaceDE w:val="0"/>
        <w:autoSpaceDN w:val="0"/>
        <w:adjustRightInd w:val="0"/>
        <w:rPr>
          <w:rFonts w:cs="Arial"/>
          <w:b/>
          <w:szCs w:val="18"/>
          <w:lang w:eastAsia="fr-FR"/>
        </w:rPr>
      </w:pPr>
    </w:p>
    <w:p w14:paraId="6E72521F" w14:textId="77777777" w:rsidR="005C3D87" w:rsidRDefault="005C3D87" w:rsidP="005C3D87">
      <w:pPr>
        <w:autoSpaceDE w:val="0"/>
        <w:autoSpaceDN w:val="0"/>
        <w:adjustRightInd w:val="0"/>
        <w:rPr>
          <w:rFonts w:cs="Arial"/>
          <w:b/>
          <w:szCs w:val="18"/>
          <w:lang w:eastAsia="fr-FR"/>
        </w:rPr>
      </w:pPr>
    </w:p>
    <w:p w14:paraId="32C55F6E" w14:textId="77777777" w:rsidR="005C3D87" w:rsidRDefault="005C3D87" w:rsidP="005C3D87">
      <w:pPr>
        <w:autoSpaceDE w:val="0"/>
        <w:autoSpaceDN w:val="0"/>
        <w:adjustRightInd w:val="0"/>
        <w:rPr>
          <w:rFonts w:cs="Arial"/>
          <w:b/>
          <w:szCs w:val="18"/>
          <w:lang w:eastAsia="fr-FR"/>
        </w:rPr>
      </w:pPr>
    </w:p>
    <w:p w14:paraId="58EAD5A7" w14:textId="77777777" w:rsidR="005C3D87" w:rsidRDefault="005C3D87" w:rsidP="005C3D87">
      <w:pPr>
        <w:autoSpaceDE w:val="0"/>
        <w:autoSpaceDN w:val="0"/>
        <w:adjustRightInd w:val="0"/>
        <w:rPr>
          <w:rFonts w:cs="Arial"/>
          <w:b/>
          <w:szCs w:val="18"/>
          <w:lang w:eastAsia="fr-FR"/>
        </w:rPr>
      </w:pPr>
    </w:p>
    <w:p w14:paraId="44134794" w14:textId="77777777" w:rsidR="005C3D87" w:rsidRDefault="005C3D87" w:rsidP="005C3D87">
      <w:pPr>
        <w:autoSpaceDE w:val="0"/>
        <w:autoSpaceDN w:val="0"/>
        <w:adjustRightInd w:val="0"/>
        <w:rPr>
          <w:rFonts w:cs="Arial"/>
          <w:b/>
          <w:szCs w:val="18"/>
          <w:lang w:eastAsia="fr-FR"/>
        </w:rPr>
      </w:pPr>
    </w:p>
    <w:p w14:paraId="32ADBF6D" w14:textId="77777777" w:rsidR="005C3D87" w:rsidRDefault="005C3D87" w:rsidP="005C3D87">
      <w:pPr>
        <w:autoSpaceDE w:val="0"/>
        <w:autoSpaceDN w:val="0"/>
        <w:adjustRightInd w:val="0"/>
        <w:rPr>
          <w:rFonts w:cs="Arial"/>
          <w:b/>
          <w:szCs w:val="18"/>
          <w:lang w:eastAsia="fr-FR"/>
        </w:rPr>
      </w:pPr>
    </w:p>
    <w:p w14:paraId="4E957716" w14:textId="77777777" w:rsidR="005C3D87" w:rsidRDefault="005C3D87" w:rsidP="005C3D87">
      <w:pPr>
        <w:autoSpaceDE w:val="0"/>
        <w:autoSpaceDN w:val="0"/>
        <w:adjustRightInd w:val="0"/>
        <w:rPr>
          <w:rFonts w:cs="Arial"/>
          <w:b/>
          <w:szCs w:val="18"/>
          <w:lang w:eastAsia="fr-FR"/>
        </w:rPr>
      </w:pPr>
    </w:p>
    <w:p w14:paraId="57067390" w14:textId="77777777" w:rsidR="005C3D87" w:rsidRDefault="005C3D87" w:rsidP="005C3D87">
      <w:pPr>
        <w:autoSpaceDE w:val="0"/>
        <w:autoSpaceDN w:val="0"/>
        <w:adjustRightInd w:val="0"/>
        <w:rPr>
          <w:rFonts w:cs="Arial"/>
          <w:b/>
          <w:szCs w:val="18"/>
          <w:lang w:eastAsia="fr-FR"/>
        </w:rPr>
      </w:pPr>
    </w:p>
    <w:p w14:paraId="2D8C3CB9" w14:textId="77777777" w:rsidR="005C3D87" w:rsidRDefault="005C3D87" w:rsidP="005C3D87">
      <w:pPr>
        <w:autoSpaceDE w:val="0"/>
        <w:autoSpaceDN w:val="0"/>
        <w:adjustRightInd w:val="0"/>
        <w:rPr>
          <w:rFonts w:cs="Arial"/>
          <w:b/>
          <w:szCs w:val="18"/>
          <w:lang w:eastAsia="fr-FR"/>
        </w:rPr>
      </w:pPr>
    </w:p>
    <w:p w14:paraId="78023DC6" w14:textId="77777777" w:rsidR="005C3D87" w:rsidRDefault="005C3D87" w:rsidP="005C3D87">
      <w:pPr>
        <w:autoSpaceDE w:val="0"/>
        <w:autoSpaceDN w:val="0"/>
        <w:adjustRightInd w:val="0"/>
        <w:rPr>
          <w:rFonts w:cs="Arial"/>
          <w:b/>
          <w:szCs w:val="18"/>
          <w:lang w:eastAsia="fr-FR"/>
        </w:rPr>
      </w:pPr>
    </w:p>
    <w:p w14:paraId="0908DA75" w14:textId="77777777" w:rsidR="005C3D87" w:rsidRDefault="005C3D87" w:rsidP="005C3D87">
      <w:pPr>
        <w:autoSpaceDE w:val="0"/>
        <w:autoSpaceDN w:val="0"/>
        <w:adjustRightInd w:val="0"/>
        <w:rPr>
          <w:rFonts w:cs="Arial"/>
          <w:b/>
          <w:szCs w:val="18"/>
          <w:lang w:eastAsia="fr-FR"/>
        </w:rPr>
      </w:pPr>
    </w:p>
    <w:p w14:paraId="33B161FE" w14:textId="77777777" w:rsidR="005C3D87" w:rsidRDefault="005C3D87" w:rsidP="005C3D87">
      <w:pPr>
        <w:autoSpaceDE w:val="0"/>
        <w:autoSpaceDN w:val="0"/>
        <w:adjustRightInd w:val="0"/>
        <w:rPr>
          <w:rFonts w:cs="Arial"/>
          <w:b/>
          <w:szCs w:val="18"/>
          <w:lang w:eastAsia="fr-FR"/>
        </w:rPr>
      </w:pPr>
    </w:p>
    <w:p w14:paraId="37091C8C" w14:textId="77777777" w:rsidR="005C3D87" w:rsidRDefault="005C3D87" w:rsidP="005C3D87">
      <w:pPr>
        <w:autoSpaceDE w:val="0"/>
        <w:autoSpaceDN w:val="0"/>
        <w:adjustRightInd w:val="0"/>
        <w:rPr>
          <w:rFonts w:cs="Arial"/>
          <w:b/>
          <w:szCs w:val="18"/>
          <w:lang w:eastAsia="fr-FR"/>
        </w:rPr>
      </w:pPr>
    </w:p>
    <w:p w14:paraId="73990770" w14:textId="77777777" w:rsidR="005C3D87" w:rsidRDefault="005C3D87" w:rsidP="005C3D87">
      <w:pPr>
        <w:autoSpaceDE w:val="0"/>
        <w:autoSpaceDN w:val="0"/>
        <w:adjustRightInd w:val="0"/>
        <w:rPr>
          <w:rFonts w:cs="Arial"/>
          <w:b/>
          <w:szCs w:val="18"/>
          <w:lang w:eastAsia="fr-FR"/>
        </w:rPr>
      </w:pPr>
    </w:p>
    <w:p w14:paraId="50BF590F" w14:textId="77777777" w:rsidR="005C3D87" w:rsidRDefault="005C3D87" w:rsidP="005C3D87">
      <w:pPr>
        <w:autoSpaceDE w:val="0"/>
        <w:autoSpaceDN w:val="0"/>
        <w:adjustRightInd w:val="0"/>
        <w:rPr>
          <w:rFonts w:cs="Arial"/>
          <w:b/>
          <w:szCs w:val="18"/>
          <w:lang w:eastAsia="fr-FR"/>
        </w:rPr>
      </w:pPr>
    </w:p>
    <w:p w14:paraId="57C87A93" w14:textId="77777777" w:rsidR="005C3D87" w:rsidRDefault="005C3D87" w:rsidP="005C3D87">
      <w:pPr>
        <w:autoSpaceDE w:val="0"/>
        <w:autoSpaceDN w:val="0"/>
        <w:adjustRightInd w:val="0"/>
        <w:rPr>
          <w:rFonts w:cs="Arial"/>
          <w:b/>
          <w:szCs w:val="18"/>
          <w:lang w:eastAsia="fr-FR"/>
        </w:rPr>
      </w:pPr>
    </w:p>
    <w:p w14:paraId="41134958" w14:textId="77777777" w:rsidR="005C3D87" w:rsidRDefault="005C3D87" w:rsidP="005C3D87">
      <w:pPr>
        <w:autoSpaceDE w:val="0"/>
        <w:autoSpaceDN w:val="0"/>
        <w:adjustRightInd w:val="0"/>
        <w:rPr>
          <w:rFonts w:cs="Arial"/>
          <w:b/>
          <w:szCs w:val="18"/>
          <w:lang w:eastAsia="fr-FR"/>
        </w:rPr>
      </w:pPr>
    </w:p>
    <w:p w14:paraId="1BF19D0C" w14:textId="77777777" w:rsidR="005C3D87" w:rsidRDefault="005C3D87" w:rsidP="005C3D87">
      <w:pPr>
        <w:autoSpaceDE w:val="0"/>
        <w:autoSpaceDN w:val="0"/>
        <w:adjustRightInd w:val="0"/>
        <w:rPr>
          <w:rFonts w:cs="Arial"/>
          <w:b/>
          <w:szCs w:val="18"/>
          <w:lang w:eastAsia="fr-FR"/>
        </w:rPr>
      </w:pPr>
    </w:p>
    <w:sectPr w:rsidR="005C3D87" w:rsidSect="005C3D87">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59D"/>
    <w:multiLevelType w:val="hybridMultilevel"/>
    <w:tmpl w:val="DBE696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6F4BBD"/>
    <w:multiLevelType w:val="hybridMultilevel"/>
    <w:tmpl w:val="B56EF304"/>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C681419"/>
    <w:multiLevelType w:val="hybridMultilevel"/>
    <w:tmpl w:val="5B040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AA6CCA"/>
    <w:multiLevelType w:val="multilevel"/>
    <w:tmpl w:val="BA04D6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5B13176"/>
    <w:multiLevelType w:val="multilevel"/>
    <w:tmpl w:val="BA04D6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0C41721"/>
    <w:multiLevelType w:val="hybridMultilevel"/>
    <w:tmpl w:val="0BF07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E45C57"/>
    <w:multiLevelType w:val="hybridMultilevel"/>
    <w:tmpl w:val="A30A655E"/>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50617159"/>
    <w:multiLevelType w:val="multilevel"/>
    <w:tmpl w:val="7D22261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5304103E"/>
    <w:multiLevelType w:val="multilevel"/>
    <w:tmpl w:val="30106502"/>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C8A6AAF"/>
    <w:multiLevelType w:val="hybridMultilevel"/>
    <w:tmpl w:val="EF5C3D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CD77301"/>
    <w:multiLevelType w:val="multilevel"/>
    <w:tmpl w:val="BA04D61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A3C2580"/>
    <w:multiLevelType w:val="hybridMultilevel"/>
    <w:tmpl w:val="48AC4E00"/>
    <w:lvl w:ilvl="0" w:tplc="100C000F">
      <w:start w:val="3"/>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1300695869">
    <w:abstractNumId w:val="9"/>
  </w:num>
  <w:num w:numId="2" w16cid:durableId="2035569141">
    <w:abstractNumId w:val="8"/>
  </w:num>
  <w:num w:numId="3" w16cid:durableId="607005301">
    <w:abstractNumId w:val="2"/>
  </w:num>
  <w:num w:numId="4" w16cid:durableId="1893419546">
    <w:abstractNumId w:val="0"/>
  </w:num>
  <w:num w:numId="5" w16cid:durableId="1714841058">
    <w:abstractNumId w:val="5"/>
  </w:num>
  <w:num w:numId="6" w16cid:durableId="563217338">
    <w:abstractNumId w:val="7"/>
  </w:num>
  <w:num w:numId="7" w16cid:durableId="105513257">
    <w:abstractNumId w:val="3"/>
  </w:num>
  <w:num w:numId="8" w16cid:durableId="993026793">
    <w:abstractNumId w:val="4"/>
  </w:num>
  <w:num w:numId="9" w16cid:durableId="1946955534">
    <w:abstractNumId w:val="10"/>
  </w:num>
  <w:num w:numId="10" w16cid:durableId="343870594">
    <w:abstractNumId w:val="6"/>
  </w:num>
  <w:num w:numId="11" w16cid:durableId="1000281063">
    <w:abstractNumId w:val="11"/>
  </w:num>
  <w:num w:numId="12" w16cid:durableId="211400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EF"/>
    <w:rsid w:val="00251978"/>
    <w:rsid w:val="00256E58"/>
    <w:rsid w:val="003B4A97"/>
    <w:rsid w:val="003E6C31"/>
    <w:rsid w:val="003F6538"/>
    <w:rsid w:val="00441ABF"/>
    <w:rsid w:val="005C3D87"/>
    <w:rsid w:val="00617B08"/>
    <w:rsid w:val="0066155E"/>
    <w:rsid w:val="00770671"/>
    <w:rsid w:val="007F14E6"/>
    <w:rsid w:val="008753CC"/>
    <w:rsid w:val="009D0A31"/>
    <w:rsid w:val="00A418F7"/>
    <w:rsid w:val="00A653A7"/>
    <w:rsid w:val="00AE2C64"/>
    <w:rsid w:val="00BA0C2C"/>
    <w:rsid w:val="00BC58EF"/>
    <w:rsid w:val="00C20149"/>
    <w:rsid w:val="00D76EF9"/>
    <w:rsid w:val="00D9358E"/>
    <w:rsid w:val="00EF26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A7AE"/>
  <w15:chartTrackingRefBased/>
  <w15:docId w15:val="{B24D17B8-B2C5-4DB3-9FF9-438B433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8EF"/>
    <w:pPr>
      <w:spacing w:after="0" w:line="240" w:lineRule="auto"/>
      <w:jc w:val="both"/>
    </w:pPr>
    <w:rPr>
      <w:rFonts w:ascii="Arial" w:eastAsia="Calibri" w:hAnsi="Arial" w:cs="Times New Roman"/>
    </w:rPr>
  </w:style>
  <w:style w:type="paragraph" w:styleId="Titre1">
    <w:name w:val="heading 1"/>
    <w:basedOn w:val="Normal"/>
    <w:next w:val="Normal"/>
    <w:link w:val="Titre1Car"/>
    <w:uiPriority w:val="9"/>
    <w:qFormat/>
    <w:rsid w:val="003B4A9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BC58EF"/>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C58EF"/>
    <w:rPr>
      <w:rFonts w:ascii="Arial" w:eastAsia="Times New Roman" w:hAnsi="Arial" w:cs="Arial"/>
      <w:b/>
      <w:color w:val="000000"/>
      <w:sz w:val="28"/>
      <w:szCs w:val="20"/>
      <w:lang w:eastAsia="fr-FR"/>
    </w:rPr>
  </w:style>
  <w:style w:type="paragraph" w:styleId="NormalWeb">
    <w:name w:val="Normal (Web)"/>
    <w:basedOn w:val="Normal"/>
    <w:uiPriority w:val="99"/>
    <w:rsid w:val="00BC58EF"/>
    <w:pPr>
      <w:spacing w:before="100" w:beforeAutospacing="1" w:after="100" w:afterAutospacing="1"/>
    </w:pPr>
    <w:rPr>
      <w:rFonts w:ascii="Times New Roman" w:eastAsia="Times New Roman" w:hAnsi="Times New Roman"/>
      <w:sz w:val="24"/>
      <w:szCs w:val="24"/>
      <w:lang w:eastAsia="fr-FR"/>
    </w:rPr>
  </w:style>
  <w:style w:type="table" w:styleId="Grilledutableau">
    <w:name w:val="Table Grid"/>
    <w:basedOn w:val="TableauNormal"/>
    <w:uiPriority w:val="59"/>
    <w:rsid w:val="00BC58EF"/>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a texte"/>
    <w:uiPriority w:val="22"/>
    <w:qFormat/>
    <w:rsid w:val="00BC58EF"/>
    <w:rPr>
      <w:b/>
      <w:bCs/>
    </w:rPr>
  </w:style>
  <w:style w:type="paragraph" w:styleId="Paragraphedeliste">
    <w:name w:val="List Paragraph"/>
    <w:basedOn w:val="Normal"/>
    <w:uiPriority w:val="34"/>
    <w:qFormat/>
    <w:rsid w:val="00BC58EF"/>
    <w:pPr>
      <w:ind w:left="720"/>
      <w:contextualSpacing/>
    </w:pPr>
  </w:style>
  <w:style w:type="character" w:customStyle="1" w:styleId="orange-contenu1">
    <w:name w:val="orange-contenu1"/>
    <w:basedOn w:val="Policepardfaut"/>
    <w:rsid w:val="00BC58EF"/>
    <w:rPr>
      <w:b/>
      <w:bCs/>
      <w:color w:val="CF8D29"/>
    </w:rPr>
  </w:style>
  <w:style w:type="character" w:customStyle="1" w:styleId="Titre1Car">
    <w:name w:val="Titre 1 Car"/>
    <w:basedOn w:val="Policepardfaut"/>
    <w:link w:val="Titre1"/>
    <w:uiPriority w:val="9"/>
    <w:rsid w:val="003B4A9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tmp"/><Relationship Id="rId5" Type="http://schemas.openxmlformats.org/officeDocument/2006/relationships/image" Target="media/image1.em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457</Words>
  <Characters>1951</Characters>
  <Application>Microsoft Office Word</Application>
  <DocSecurity>0</DocSecurity>
  <Lines>195</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18</cp:revision>
  <dcterms:created xsi:type="dcterms:W3CDTF">2015-11-02T13:19:00Z</dcterms:created>
  <dcterms:modified xsi:type="dcterms:W3CDTF">2025-11-23T16:41:00Z</dcterms:modified>
</cp:coreProperties>
</file>