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71"/>
        <w:gridCol w:w="7655"/>
        <w:gridCol w:w="992"/>
      </w:tblGrid>
      <w:tr w:rsidR="00637191" w:rsidRPr="00C22356" w14:paraId="2EE26A99" w14:textId="77777777" w:rsidTr="00485817">
        <w:trPr>
          <w:trHeight w:val="386"/>
        </w:trPr>
        <w:tc>
          <w:tcPr>
            <w:tcW w:w="9918" w:type="dxa"/>
            <w:gridSpan w:val="3"/>
            <w:shd w:val="clear" w:color="auto" w:fill="FFFF00"/>
          </w:tcPr>
          <w:p w14:paraId="4FD4B9A2" w14:textId="77777777" w:rsidR="00637191" w:rsidRPr="00C10072" w:rsidRDefault="00637191" w:rsidP="00485817">
            <w:pPr>
              <w:pStyle w:val="Titre2"/>
              <w:spacing w:before="120"/>
              <w:jc w:val="center"/>
              <w:rPr>
                <w:szCs w:val="22"/>
              </w:rPr>
            </w:pPr>
            <w:r w:rsidRPr="00C10072">
              <w:rPr>
                <w:szCs w:val="22"/>
              </w:rPr>
              <w:t xml:space="preserve">Réflexion 2 - Suivre les livraisons </w:t>
            </w:r>
          </w:p>
        </w:tc>
      </w:tr>
      <w:tr w:rsidR="00637191" w:rsidRPr="00173A63" w14:paraId="57813327" w14:textId="77777777" w:rsidTr="00485817">
        <w:trPr>
          <w:trHeight w:val="267"/>
        </w:trPr>
        <w:tc>
          <w:tcPr>
            <w:tcW w:w="1271" w:type="dxa"/>
            <w:shd w:val="clear" w:color="auto" w:fill="FFFF00"/>
            <w:vAlign w:val="center"/>
          </w:tcPr>
          <w:p w14:paraId="3F2034E4" w14:textId="77777777" w:rsidR="00637191" w:rsidRPr="00FF0A24" w:rsidRDefault="00637191" w:rsidP="00485817">
            <w:pPr>
              <w:jc w:val="left"/>
            </w:pPr>
            <w:r w:rsidRPr="00B26C10">
              <w:t>Durée</w:t>
            </w:r>
            <w:r>
              <w:t xml:space="preserve"> : 15’</w:t>
            </w:r>
          </w:p>
        </w:tc>
        <w:tc>
          <w:tcPr>
            <w:tcW w:w="7655" w:type="dxa"/>
            <w:shd w:val="clear" w:color="auto" w:fill="FFFF00"/>
            <w:vAlign w:val="center"/>
          </w:tcPr>
          <w:p w14:paraId="5199E957" w14:textId="77777777" w:rsidR="00637191" w:rsidRPr="00FF0A24" w:rsidRDefault="00637191" w:rsidP="00485817">
            <w:pPr>
              <w:jc w:val="center"/>
            </w:pPr>
            <w:r>
              <w:rPr>
                <w:noProof/>
              </w:rPr>
              <w:drawing>
                <wp:inline distT="0" distB="0" distL="0" distR="0" wp14:anchorId="124EB852" wp14:editId="7101D1F7">
                  <wp:extent cx="324000" cy="324000"/>
                  <wp:effectExtent l="0" t="0" r="0" b="0"/>
                  <wp:docPr id="106" name="Graphique 10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6DE0E910" wp14:editId="685A0039">
                  <wp:extent cx="360000" cy="360000"/>
                  <wp:effectExtent l="0" t="0" r="0" b="2540"/>
                  <wp:docPr id="107" name="Graphique 10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189998A2" w14:textId="77777777" w:rsidR="00637191" w:rsidRPr="00173A63" w:rsidRDefault="00637191" w:rsidP="00485817">
            <w:pPr>
              <w:jc w:val="center"/>
              <w:rPr>
                <w:i/>
              </w:rPr>
            </w:pPr>
            <w:r w:rsidRPr="00173A63">
              <w:rPr>
                <w:b/>
              </w:rPr>
              <w:t xml:space="preserve">Source </w:t>
            </w:r>
          </w:p>
        </w:tc>
      </w:tr>
    </w:tbl>
    <w:p w14:paraId="129430C5" w14:textId="77777777" w:rsidR="00637191" w:rsidRPr="00B26C10" w:rsidRDefault="00637191" w:rsidP="00637191">
      <w:pPr>
        <w:spacing w:before="240" w:after="120"/>
        <w:jc w:val="left"/>
        <w:rPr>
          <w:b/>
          <w:sz w:val="24"/>
        </w:rPr>
      </w:pPr>
      <w:r w:rsidRPr="00B26C10">
        <w:rPr>
          <w:b/>
          <w:sz w:val="24"/>
        </w:rPr>
        <w:t>Travail à faire</w:t>
      </w:r>
    </w:p>
    <w:p w14:paraId="5A1FA19F" w14:textId="77777777" w:rsidR="00637191" w:rsidRPr="00C809C6" w:rsidRDefault="00637191" w:rsidP="00637191">
      <w:pPr>
        <w:spacing w:after="120"/>
        <w:jc w:val="left"/>
        <w:rPr>
          <w:bCs/>
        </w:rPr>
      </w:pPr>
      <w:bookmarkStart w:id="0" w:name="_Hlk528419425"/>
      <w:r w:rsidRPr="00C809C6">
        <w:rPr>
          <w:bCs/>
        </w:rPr>
        <w:t xml:space="preserve">Après avoir lu les document 1 et 2, répondez aux questions suivantes : </w:t>
      </w:r>
    </w:p>
    <w:bookmarkEnd w:id="0"/>
    <w:p w14:paraId="0A88497A" w14:textId="77777777" w:rsidR="00637191" w:rsidRPr="00C809C6" w:rsidRDefault="00637191" w:rsidP="00637191">
      <w:pPr>
        <w:pStyle w:val="Paragraphedeliste"/>
        <w:numPr>
          <w:ilvl w:val="0"/>
          <w:numId w:val="1"/>
        </w:numPr>
        <w:jc w:val="left"/>
        <w:rPr>
          <w:bCs/>
        </w:rPr>
      </w:pPr>
      <w:r w:rsidRPr="00C809C6">
        <w:rPr>
          <w:bCs/>
        </w:rPr>
        <w:t>Quel est le service proposé par API Suivi d’UPS ?</w:t>
      </w:r>
    </w:p>
    <w:p w14:paraId="29777256" w14:textId="77777777" w:rsidR="00637191" w:rsidRPr="00C809C6" w:rsidRDefault="00637191" w:rsidP="00637191">
      <w:pPr>
        <w:pStyle w:val="Paragraphedeliste"/>
        <w:numPr>
          <w:ilvl w:val="0"/>
          <w:numId w:val="1"/>
        </w:numPr>
        <w:jc w:val="left"/>
        <w:rPr>
          <w:bCs/>
        </w:rPr>
      </w:pPr>
      <w:r w:rsidRPr="00C809C6">
        <w:rPr>
          <w:bCs/>
        </w:rPr>
        <w:t>Quel est son intérêt pour l’entreprise ?</w:t>
      </w:r>
    </w:p>
    <w:p w14:paraId="666A1CBD" w14:textId="77777777" w:rsidR="00637191" w:rsidRPr="00C809C6" w:rsidRDefault="00637191" w:rsidP="00637191">
      <w:pPr>
        <w:pStyle w:val="Paragraphedeliste"/>
        <w:numPr>
          <w:ilvl w:val="0"/>
          <w:numId w:val="1"/>
        </w:numPr>
        <w:jc w:val="left"/>
        <w:rPr>
          <w:bCs/>
        </w:rPr>
      </w:pPr>
      <w:r w:rsidRPr="00C809C6">
        <w:rPr>
          <w:bCs/>
        </w:rPr>
        <w:t>Qu’est-ce qu’une étiquette RFID ? Quel est son intérêt ?</w:t>
      </w:r>
    </w:p>
    <w:p w14:paraId="0FDD7427" w14:textId="77777777" w:rsidR="00637191" w:rsidRPr="00C809C6" w:rsidRDefault="00637191" w:rsidP="00637191">
      <w:pPr>
        <w:pStyle w:val="Paragraphedeliste"/>
        <w:numPr>
          <w:ilvl w:val="0"/>
          <w:numId w:val="1"/>
        </w:numPr>
        <w:jc w:val="left"/>
        <w:rPr>
          <w:bCs/>
        </w:rPr>
      </w:pPr>
      <w:r w:rsidRPr="00C809C6">
        <w:rPr>
          <w:bCs/>
        </w:rPr>
        <w:t>Quelle est la relation entre ces deux articles ?</w:t>
      </w:r>
    </w:p>
    <w:p w14:paraId="3DBDA873" w14:textId="77777777" w:rsidR="00637191" w:rsidRPr="00C809C6" w:rsidRDefault="00637191" w:rsidP="00637191">
      <w:pPr>
        <w:pStyle w:val="Paragraphedeliste"/>
        <w:numPr>
          <w:ilvl w:val="0"/>
          <w:numId w:val="1"/>
        </w:numPr>
        <w:jc w:val="left"/>
        <w:rPr>
          <w:bCs/>
        </w:rPr>
      </w:pPr>
      <w:r w:rsidRPr="00C809C6">
        <w:rPr>
          <w:bCs/>
        </w:rPr>
        <w:t xml:space="preserve">Que signifie </w:t>
      </w:r>
      <w:proofErr w:type="spellStart"/>
      <w:r w:rsidRPr="00C809C6">
        <w:rPr>
          <w:bCs/>
        </w:rPr>
        <w:t>MtoM</w:t>
      </w:r>
      <w:proofErr w:type="spellEnd"/>
      <w:r w:rsidRPr="00C809C6">
        <w:rPr>
          <w:bCs/>
        </w:rPr>
        <w:t xml:space="preserve"> ou M2M ? est-ce l’Internet des objets ?</w:t>
      </w:r>
    </w:p>
    <w:p w14:paraId="2FF42B08" w14:textId="77777777" w:rsidR="00637191" w:rsidRDefault="00637191" w:rsidP="00637191">
      <w:pPr>
        <w:jc w:val="left"/>
        <w:rPr>
          <w:b/>
        </w:rPr>
      </w:pPr>
    </w:p>
    <w:p w14:paraId="007B7E5D" w14:textId="77777777" w:rsidR="00637191" w:rsidRPr="00A82ACC" w:rsidRDefault="00637191" w:rsidP="00637191">
      <w:pPr>
        <w:spacing w:before="120"/>
        <w:jc w:val="left"/>
        <w:rPr>
          <w:b/>
          <w:sz w:val="28"/>
        </w:rPr>
      </w:pPr>
      <w:r w:rsidRPr="008F7748">
        <w:rPr>
          <w:b/>
          <w:noProof/>
          <w:color w:val="FFFFFF" w:themeColor="background1"/>
          <w:sz w:val="24"/>
          <w:highlight w:val="red"/>
          <w:lang w:eastAsia="fr-FR"/>
        </w:rPr>
        <w:drawing>
          <wp:anchor distT="0" distB="0" distL="114300" distR="114300" simplePos="0" relativeHeight="251659264" behindDoc="0" locked="0" layoutInCell="1" allowOverlap="1" wp14:anchorId="5FC77CD2" wp14:editId="030C76A2">
            <wp:simplePos x="0" y="0"/>
            <wp:positionH relativeFrom="column">
              <wp:posOffset>5751830</wp:posOffset>
            </wp:positionH>
            <wp:positionV relativeFrom="paragraph">
              <wp:posOffset>132715</wp:posOffset>
            </wp:positionV>
            <wp:extent cx="494665" cy="607695"/>
            <wp:effectExtent l="0" t="0" r="635" b="190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918AF71.tmp"/>
                    <pic:cNvPicPr/>
                  </pic:nvPicPr>
                  <pic:blipFill>
                    <a:blip r:embed="rId9">
                      <a:extLst>
                        <a:ext uri="{28A0092B-C50C-407E-A947-70E740481C1C}">
                          <a14:useLocalDpi xmlns:a14="http://schemas.microsoft.com/office/drawing/2010/main" val="0"/>
                        </a:ext>
                      </a:extLst>
                    </a:blip>
                    <a:stretch>
                      <a:fillRect/>
                    </a:stretch>
                  </pic:blipFill>
                  <pic:spPr>
                    <a:xfrm>
                      <a:off x="0" y="0"/>
                      <a:ext cx="494665" cy="607695"/>
                    </a:xfrm>
                    <a:prstGeom prst="rect">
                      <a:avLst/>
                    </a:prstGeom>
                  </pic:spPr>
                </pic:pic>
              </a:graphicData>
            </a:graphic>
            <wp14:sizeRelH relativeFrom="margin">
              <wp14:pctWidth>0</wp14:pctWidth>
            </wp14:sizeRelH>
            <wp14:sizeRelV relativeFrom="margin">
              <wp14:pctHeight>0</wp14:pctHeight>
            </wp14:sizeRelV>
          </wp:anchor>
        </w:drawing>
      </w:r>
      <w:r w:rsidRPr="008F7748">
        <w:rPr>
          <w:b/>
          <w:color w:val="FFFFFF" w:themeColor="background1"/>
          <w:sz w:val="24"/>
          <w:highlight w:val="red"/>
        </w:rPr>
        <w:t>Doc. 1 </w:t>
      </w:r>
      <w:r w:rsidRPr="008F7748">
        <w:rPr>
          <w:b/>
          <w:color w:val="FFFFFF" w:themeColor="background1"/>
          <w:sz w:val="24"/>
        </w:rPr>
        <w:t xml:space="preserve"> </w:t>
      </w:r>
      <w:r w:rsidRPr="00A82ACC">
        <w:rPr>
          <w:b/>
          <w:sz w:val="24"/>
        </w:rPr>
        <w:t>UPS : API Suivi</w:t>
      </w:r>
    </w:p>
    <w:p w14:paraId="1CAB53FC" w14:textId="77777777" w:rsidR="00637191" w:rsidRPr="00B26C10" w:rsidRDefault="00637191" w:rsidP="00637191">
      <w:pPr>
        <w:spacing w:before="60"/>
        <w:jc w:val="left"/>
        <w:rPr>
          <w:rFonts w:cs="Arial"/>
        </w:rPr>
      </w:pPr>
      <w:r w:rsidRPr="00B26C10">
        <w:rPr>
          <w:rFonts w:cs="Arial"/>
        </w:rPr>
        <w:t>http://www.ups.com/</w:t>
      </w:r>
    </w:p>
    <w:p w14:paraId="73C1A5BD" w14:textId="77777777" w:rsidR="00637191" w:rsidRDefault="00637191" w:rsidP="00637191">
      <w:pPr>
        <w:spacing w:before="240"/>
      </w:pPr>
      <w:r>
        <w:t>Autorisez vos clients à accéder aux informations de suivi des colis via votre site Internet.</w:t>
      </w:r>
    </w:p>
    <w:p w14:paraId="67003C08" w14:textId="77777777" w:rsidR="00637191" w:rsidRDefault="00637191" w:rsidP="00637191">
      <w:pPr>
        <w:spacing w:before="120"/>
      </w:pPr>
      <w:r>
        <w:t>Non seulement les appels au service client diminuent mais une relance du trafic se produit sur l'ensemble du site car vos clients utilisent l'interface de programmation d'application (API) Suivi.</w:t>
      </w:r>
    </w:p>
    <w:p w14:paraId="0F0BE496" w14:textId="77777777" w:rsidR="00637191" w:rsidRDefault="00637191" w:rsidP="00637191">
      <w:pPr>
        <w:spacing w:before="120"/>
      </w:pPr>
      <w:r>
        <w:t>Disponible dans plus de 40 pays, l'API Suivi vous permet de fournir des rapports d'état à la minute sur vos envois, nationaux et internationaux, à vos clients via votre site Internet.</w:t>
      </w:r>
    </w:p>
    <w:p w14:paraId="564D14A0" w14:textId="77777777" w:rsidR="00637191" w:rsidRDefault="00637191" w:rsidP="00637191">
      <w:pPr>
        <w:spacing w:before="120"/>
      </w:pPr>
      <w:r>
        <w:t>L'API Suivi permet à vos clients de suivre leur envoi directement depuis votre site de commerce électronique à l'aide de votre numéro de référence ou de commande. Grâce à cette fonctionnalité, vos clients reviennent sur votre site pour suivre leurs envois ou vérifier l'état de leur commande.</w:t>
      </w:r>
    </w:p>
    <w:p w14:paraId="661D1890" w14:textId="77777777" w:rsidR="00637191" w:rsidRDefault="00637191" w:rsidP="00637191">
      <w:pPr>
        <w:spacing w:before="120"/>
      </w:pPr>
      <w:r>
        <w:t>Ce trafic est susceptible d'engendrer de nouvelles commandes et plus de ventes.</w:t>
      </w:r>
    </w:p>
    <w:p w14:paraId="05442F5F" w14:textId="77777777" w:rsidR="00637191" w:rsidRDefault="00637191" w:rsidP="00637191">
      <w:pPr>
        <w:spacing w:before="120"/>
      </w:pPr>
      <w:r>
        <w:t>Vos clients peuvent obtenir des informations spécifiques sur l'état de leur envoi, notamment l'heure de passage et la localisation des colis lors de leur acheminement jusqu'à la destination finale. Les informations de suivi peuvent être facilement intégrées à votre site.</w:t>
      </w:r>
    </w:p>
    <w:p w14:paraId="23DA07EF" w14:textId="77777777" w:rsidR="00637191" w:rsidRDefault="00637191" w:rsidP="00637191">
      <w:pPr>
        <w:rPr>
          <w:rFonts w:cs="Arial"/>
          <w:color w:val="000000" w:themeColor="text1"/>
          <w:szCs w:val="20"/>
        </w:rPr>
      </w:pPr>
    </w:p>
    <w:p w14:paraId="7E6F2D0B" w14:textId="77777777" w:rsidR="00637191" w:rsidRDefault="00637191" w:rsidP="00637191">
      <w:pPr>
        <w:rPr>
          <w:rFonts w:cs="Arial"/>
          <w:color w:val="000000" w:themeColor="text1"/>
          <w:szCs w:val="20"/>
        </w:rPr>
      </w:pPr>
    </w:p>
    <w:p w14:paraId="0A1FFB4E" w14:textId="77777777" w:rsidR="00637191" w:rsidRPr="00A82ACC" w:rsidRDefault="00637191" w:rsidP="00637191">
      <w:pPr>
        <w:jc w:val="left"/>
        <w:rPr>
          <w:b/>
          <w:sz w:val="24"/>
        </w:rPr>
      </w:pPr>
      <w:r w:rsidRPr="008F7748">
        <w:rPr>
          <w:b/>
          <w:color w:val="FFFFFF" w:themeColor="background1"/>
          <w:sz w:val="24"/>
          <w:highlight w:val="red"/>
        </w:rPr>
        <w:t>Doc. 2 </w:t>
      </w:r>
      <w:r w:rsidRPr="008F7748">
        <w:rPr>
          <w:b/>
          <w:color w:val="FFFFFF" w:themeColor="background1"/>
          <w:sz w:val="24"/>
        </w:rPr>
        <w:t xml:space="preserve"> </w:t>
      </w:r>
      <w:r w:rsidRPr="00A82ACC">
        <w:rPr>
          <w:b/>
          <w:sz w:val="24"/>
        </w:rPr>
        <w:t>Traçabilité &amp;</w:t>
      </w:r>
      <w:r>
        <w:rPr>
          <w:b/>
          <w:sz w:val="24"/>
        </w:rPr>
        <w:t xml:space="preserve"> RFID / </w:t>
      </w:r>
      <w:r w:rsidRPr="00A82ACC">
        <w:rPr>
          <w:b/>
          <w:sz w:val="24"/>
        </w:rPr>
        <w:t xml:space="preserve">Traçabilité sans fil et à distance / </w:t>
      </w:r>
      <w:r w:rsidRPr="00A82ACC">
        <w:rPr>
          <w:b/>
          <w:color w:val="CC0000"/>
          <w:sz w:val="24"/>
        </w:rPr>
        <w:t>M2M</w:t>
      </w:r>
      <w:r w:rsidRPr="00A82ACC">
        <w:rPr>
          <w:b/>
          <w:sz w:val="24"/>
        </w:rPr>
        <w:t xml:space="preserve"> Machine to Machine</w:t>
      </w:r>
    </w:p>
    <w:p w14:paraId="07F8A001" w14:textId="77777777" w:rsidR="00637191" w:rsidRPr="00A82ACC" w:rsidRDefault="00637191" w:rsidP="00637191">
      <w:pPr>
        <w:spacing w:before="60"/>
        <w:jc w:val="left"/>
        <w:rPr>
          <w:rFonts w:cs="Arial"/>
        </w:rPr>
      </w:pPr>
      <w:r w:rsidRPr="00A82ACC">
        <w:rPr>
          <w:rFonts w:cs="Arial"/>
        </w:rPr>
        <w:t>Source : http://www.adequate.fr/</w:t>
      </w:r>
    </w:p>
    <w:p w14:paraId="681EF079" w14:textId="77777777" w:rsidR="00637191" w:rsidRPr="00A82ACC" w:rsidRDefault="00637191" w:rsidP="00637191">
      <w:pPr>
        <w:rPr>
          <w:rFonts w:cs="Arial"/>
        </w:rPr>
      </w:pPr>
      <w:r w:rsidRPr="00A82ACC">
        <w:rPr>
          <w:rFonts w:cs="Arial"/>
        </w:rPr>
        <w:br/>
        <w:t>La traçabilité est devenue un élément incontournable de la gestion de la chaîne d'approvisionnement, de la gestion du risque et de la qualité. A l'initiative du groupe de travail logistique et dans la continuité des travaux sectoriels nationaux et internationaux, un groupe de travail sur la traçabilité a été créé le 1</w:t>
      </w:r>
      <w:r w:rsidRPr="007711EB">
        <w:rPr>
          <w:rFonts w:cs="Arial"/>
          <w:vertAlign w:val="superscript"/>
        </w:rPr>
        <w:t>er</w:t>
      </w:r>
      <w:r>
        <w:rPr>
          <w:rFonts w:cs="Arial"/>
        </w:rPr>
        <w:t xml:space="preserve"> </w:t>
      </w:r>
      <w:r w:rsidRPr="00A82ACC">
        <w:rPr>
          <w:rFonts w:cs="Arial"/>
        </w:rPr>
        <w:t xml:space="preserve">février 2000 au sein de Gencod EAN France. Il regroupe industriels, distributeurs, transporteurs, prestataires logistiques, représentants d'associations professionnelles. </w:t>
      </w:r>
    </w:p>
    <w:p w14:paraId="05FC2EF2" w14:textId="77777777" w:rsidR="00637191" w:rsidRPr="00A82ACC" w:rsidRDefault="00637191" w:rsidP="00637191">
      <w:pPr>
        <w:rPr>
          <w:rFonts w:cs="Arial"/>
        </w:rPr>
      </w:pPr>
    </w:p>
    <w:p w14:paraId="36A1BD5A" w14:textId="77777777" w:rsidR="00637191" w:rsidRDefault="00637191" w:rsidP="00637191">
      <w:pPr>
        <w:rPr>
          <w:b/>
          <w:bCs/>
        </w:rPr>
      </w:pPr>
      <w:r w:rsidRPr="007711EB">
        <w:rPr>
          <w:noProof/>
          <w:lang w:eastAsia="fr-FR"/>
        </w:rPr>
        <w:drawing>
          <wp:anchor distT="0" distB="0" distL="114300" distR="114300" simplePos="0" relativeHeight="251660288" behindDoc="0" locked="0" layoutInCell="1" allowOverlap="1" wp14:anchorId="102FDF60" wp14:editId="17991409">
            <wp:simplePos x="0" y="0"/>
            <wp:positionH relativeFrom="margin">
              <wp:posOffset>5289550</wp:posOffset>
            </wp:positionH>
            <wp:positionV relativeFrom="paragraph">
              <wp:posOffset>2540</wp:posOffset>
            </wp:positionV>
            <wp:extent cx="934085" cy="914400"/>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0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ACC">
        <w:rPr>
          <w:b/>
        </w:rPr>
        <w:t xml:space="preserve">RFID </w:t>
      </w:r>
      <w:r w:rsidRPr="00A82ACC">
        <w:rPr>
          <w:b/>
          <w:bCs/>
        </w:rPr>
        <w:t>Etiquette électronique dite étiquette intelligente</w:t>
      </w:r>
    </w:p>
    <w:p w14:paraId="75E9EB73" w14:textId="77777777" w:rsidR="00637191" w:rsidRPr="00A82ACC" w:rsidRDefault="00637191" w:rsidP="00637191">
      <w:r w:rsidRPr="00A82ACC">
        <w:rPr>
          <w:b/>
          <w:bCs/>
        </w:rPr>
        <w:t>L</w:t>
      </w:r>
      <w:r w:rsidRPr="00A82ACC">
        <w:t>'</w:t>
      </w:r>
      <w:r w:rsidRPr="00A82ACC">
        <w:rPr>
          <w:b/>
          <w:bCs/>
        </w:rPr>
        <w:t>identification par radiofréquence</w:t>
      </w:r>
      <w:r w:rsidRPr="00A82ACC">
        <w:t xml:space="preserve">, ou </w:t>
      </w:r>
      <w:r w:rsidRPr="00A82ACC">
        <w:rPr>
          <w:b/>
          <w:bCs/>
          <w:i/>
          <w:iCs/>
        </w:rPr>
        <w:t>RFID</w:t>
      </w:r>
      <w:r w:rsidRPr="00A82ACC">
        <w:t xml:space="preserve"> (</w:t>
      </w:r>
      <w:r w:rsidRPr="00A82ACC">
        <w:rPr>
          <w:i/>
          <w:iCs/>
        </w:rPr>
        <w:t>Radio Frequency Identification</w:t>
      </w:r>
      <w:r w:rsidRPr="00A82ACC">
        <w:t xml:space="preserve">), est une méthode pour stocker et récupérer des données à distance en utilisant des marqueurs appelés « Tag RFID ». </w:t>
      </w:r>
      <w:r>
        <w:t xml:space="preserve">Ce </w:t>
      </w:r>
      <w:r w:rsidRPr="00A82ACC">
        <w:t xml:space="preserve">sont de petits objets, tels que des étiquettes autoadhésives, qui peuvent être collées ou incorporées dans des produits. </w:t>
      </w:r>
      <w:r>
        <w:t>Elles</w:t>
      </w:r>
      <w:r w:rsidRPr="00A82ACC">
        <w:t xml:space="preserve"> comprennent une </w:t>
      </w:r>
      <w:r w:rsidRPr="00A82ACC">
        <w:rPr>
          <w:rFonts w:cs="Arial"/>
        </w:rPr>
        <w:t>antenne a</w:t>
      </w:r>
      <w:r w:rsidRPr="00A82ACC">
        <w:t xml:space="preserve">ssociée à une puce </w:t>
      </w:r>
      <w:r>
        <w:t>électronique qui leur permet</w:t>
      </w:r>
      <w:r w:rsidRPr="00A82ACC">
        <w:t xml:space="preserve"> de recevoir et de répondre aux requêtes radio émises depuis  l'émetteur-récepteur. Elles sont désormais interfacées avec le système informat</w:t>
      </w:r>
      <w:r>
        <w:t>ique sur réseau LAN ou en WIFI</w:t>
      </w:r>
      <w:r w:rsidRPr="00A82ACC">
        <w:t>. </w:t>
      </w:r>
    </w:p>
    <w:p w14:paraId="29FA9F1A" w14:textId="77777777" w:rsidR="00637191" w:rsidRPr="00A82ACC" w:rsidRDefault="00637191" w:rsidP="00637191">
      <w:pPr>
        <w:rPr>
          <w:i/>
          <w:iCs/>
        </w:rPr>
      </w:pPr>
    </w:p>
    <w:p w14:paraId="0EB679E5" w14:textId="77777777" w:rsidR="00637191" w:rsidRPr="00A82ACC" w:rsidRDefault="00637191" w:rsidP="00637191">
      <w:pPr>
        <w:rPr>
          <w:b/>
        </w:rPr>
      </w:pPr>
      <w:r w:rsidRPr="00A82ACC">
        <w:rPr>
          <w:b/>
        </w:rPr>
        <w:t>M2M Machine to Machine</w:t>
      </w:r>
    </w:p>
    <w:p w14:paraId="096F0AAE" w14:textId="77777777" w:rsidR="00637191" w:rsidRPr="00A82ACC" w:rsidRDefault="00637191" w:rsidP="00637191">
      <w:r w:rsidRPr="00A82ACC">
        <w:t xml:space="preserve">Les puces RFID comme les puces NFC permettent le développement des échanges d'informations et de données sans intervention humaine. Domaines concernés : La logistique, le commerce, la santé, la sécurité, etc. </w:t>
      </w:r>
    </w:p>
    <w:p w14:paraId="03F96971" w14:textId="77777777" w:rsidR="00637191" w:rsidRDefault="00637191" w:rsidP="00637191">
      <w:pPr>
        <w:jc w:val="left"/>
        <w:rPr>
          <w:b/>
        </w:rPr>
      </w:pPr>
    </w:p>
    <w:p w14:paraId="4D034347" w14:textId="77777777" w:rsidR="00A811DE" w:rsidRDefault="00A811DE" w:rsidP="00D57865">
      <w:pPr>
        <w:spacing w:before="120"/>
        <w:jc w:val="left"/>
        <w:rPr>
          <w:b/>
        </w:rPr>
      </w:pPr>
    </w:p>
    <w:p w14:paraId="4BFFFF7F" w14:textId="26C0F09A" w:rsidR="00D57865" w:rsidRDefault="00637191" w:rsidP="00A811DE">
      <w:pPr>
        <w:spacing w:before="120" w:after="120"/>
        <w:jc w:val="left"/>
        <w:rPr>
          <w:b/>
          <w:sz w:val="24"/>
        </w:rPr>
      </w:pPr>
      <w:r>
        <w:rPr>
          <w:b/>
          <w:sz w:val="24"/>
        </w:rPr>
        <w:lastRenderedPageBreak/>
        <w:t>Réponses</w:t>
      </w:r>
    </w:p>
    <w:p w14:paraId="11528AC3" w14:textId="77777777" w:rsidR="00FE5A12" w:rsidRDefault="00FE5A12" w:rsidP="00FE5A12">
      <w:pPr>
        <w:pStyle w:val="Paragraphedeliste"/>
        <w:ind w:left="360"/>
        <w:jc w:val="left"/>
        <w:rPr>
          <w:b/>
        </w:rPr>
      </w:pPr>
    </w:p>
    <w:p w14:paraId="2012BE1A" w14:textId="7CF2FFF6" w:rsidR="00D57865" w:rsidRDefault="00D57865" w:rsidP="00FE5A12">
      <w:pPr>
        <w:pStyle w:val="Paragraphedeliste"/>
        <w:numPr>
          <w:ilvl w:val="0"/>
          <w:numId w:val="2"/>
        </w:numPr>
        <w:jc w:val="left"/>
        <w:rPr>
          <w:b/>
        </w:rPr>
      </w:pPr>
      <w:r w:rsidRPr="00933ED5">
        <w:rPr>
          <w:b/>
        </w:rPr>
        <w:t>Quel est le service proposé par API suivi d’UPS</w:t>
      </w:r>
      <w:r>
        <w:rPr>
          <w:b/>
        </w:rPr>
        <w:t> ?</w:t>
      </w:r>
    </w:p>
    <w:p w14:paraId="0A13BB79" w14:textId="77777777" w:rsidR="00A811DE" w:rsidRDefault="00A811DE" w:rsidP="00A811DE">
      <w:pPr>
        <w:jc w:val="left"/>
        <w:rPr>
          <w:b/>
        </w:rPr>
      </w:pPr>
    </w:p>
    <w:p w14:paraId="320BC422" w14:textId="77777777" w:rsidR="00A811DE" w:rsidRDefault="00A811DE" w:rsidP="00A811DE">
      <w:pPr>
        <w:jc w:val="left"/>
        <w:rPr>
          <w:b/>
        </w:rPr>
      </w:pPr>
    </w:p>
    <w:p w14:paraId="08702884" w14:textId="77777777" w:rsidR="00A811DE" w:rsidRDefault="00A811DE" w:rsidP="00A811DE">
      <w:pPr>
        <w:jc w:val="left"/>
        <w:rPr>
          <w:b/>
        </w:rPr>
      </w:pPr>
    </w:p>
    <w:p w14:paraId="51CF1376" w14:textId="77777777" w:rsidR="00A811DE" w:rsidRPr="00A811DE" w:rsidRDefault="00A811DE" w:rsidP="00A811DE">
      <w:pPr>
        <w:jc w:val="left"/>
        <w:rPr>
          <w:b/>
        </w:rPr>
      </w:pPr>
    </w:p>
    <w:p w14:paraId="102A88F6" w14:textId="77777777" w:rsidR="00D57865" w:rsidRDefault="00D57865" w:rsidP="00FE5A12">
      <w:pPr>
        <w:pStyle w:val="Paragraphedeliste"/>
        <w:numPr>
          <w:ilvl w:val="0"/>
          <w:numId w:val="2"/>
        </w:numPr>
        <w:jc w:val="left"/>
        <w:rPr>
          <w:b/>
        </w:rPr>
      </w:pPr>
      <w:r w:rsidRPr="00933ED5">
        <w:rPr>
          <w:b/>
        </w:rPr>
        <w:t>Quel est son intérêt pour l’entreprise</w:t>
      </w:r>
      <w:r>
        <w:rPr>
          <w:b/>
        </w:rPr>
        <w:t> ?</w:t>
      </w:r>
    </w:p>
    <w:p w14:paraId="4AD4F8D8" w14:textId="77777777" w:rsidR="00A811DE" w:rsidRDefault="00A811DE" w:rsidP="00A811DE">
      <w:pPr>
        <w:jc w:val="left"/>
        <w:rPr>
          <w:b/>
        </w:rPr>
      </w:pPr>
    </w:p>
    <w:p w14:paraId="675B4823" w14:textId="77777777" w:rsidR="00A811DE" w:rsidRDefault="00A811DE" w:rsidP="00A811DE">
      <w:pPr>
        <w:jc w:val="left"/>
        <w:rPr>
          <w:b/>
        </w:rPr>
      </w:pPr>
    </w:p>
    <w:p w14:paraId="33EB6678" w14:textId="77777777" w:rsidR="00A811DE" w:rsidRDefault="00A811DE" w:rsidP="00A811DE">
      <w:pPr>
        <w:jc w:val="left"/>
        <w:rPr>
          <w:b/>
        </w:rPr>
      </w:pPr>
    </w:p>
    <w:p w14:paraId="68C6D7D1" w14:textId="77777777" w:rsidR="00A811DE" w:rsidRPr="00A811DE" w:rsidRDefault="00A811DE" w:rsidP="00A811DE">
      <w:pPr>
        <w:jc w:val="left"/>
        <w:rPr>
          <w:b/>
        </w:rPr>
      </w:pPr>
    </w:p>
    <w:p w14:paraId="2F525F0B" w14:textId="77777777" w:rsidR="00D57865" w:rsidRDefault="00D57865" w:rsidP="00FE5A12">
      <w:pPr>
        <w:pStyle w:val="Paragraphedeliste"/>
        <w:numPr>
          <w:ilvl w:val="0"/>
          <w:numId w:val="2"/>
        </w:numPr>
        <w:jc w:val="left"/>
        <w:rPr>
          <w:b/>
        </w:rPr>
      </w:pPr>
      <w:r w:rsidRPr="00A811DE">
        <w:rPr>
          <w:b/>
        </w:rPr>
        <w:t>Qu’est-ce qu’une étiquette RFID ?</w:t>
      </w:r>
      <w:r w:rsidR="00A811DE">
        <w:rPr>
          <w:b/>
        </w:rPr>
        <w:t xml:space="preserve"> </w:t>
      </w:r>
      <w:r w:rsidRPr="00A811DE">
        <w:rPr>
          <w:b/>
        </w:rPr>
        <w:t>Quel est son intérêt ?</w:t>
      </w:r>
    </w:p>
    <w:p w14:paraId="0614F4FA" w14:textId="77777777" w:rsidR="00A811DE" w:rsidRDefault="00A811DE" w:rsidP="00A811DE">
      <w:pPr>
        <w:jc w:val="left"/>
        <w:rPr>
          <w:b/>
        </w:rPr>
      </w:pPr>
    </w:p>
    <w:p w14:paraId="6D06D556" w14:textId="77777777" w:rsidR="00A811DE" w:rsidRDefault="00A811DE" w:rsidP="00A811DE">
      <w:pPr>
        <w:jc w:val="left"/>
        <w:rPr>
          <w:b/>
        </w:rPr>
      </w:pPr>
    </w:p>
    <w:p w14:paraId="3A333F20" w14:textId="77777777" w:rsidR="00A811DE" w:rsidRDefault="00A811DE" w:rsidP="00A811DE">
      <w:pPr>
        <w:jc w:val="left"/>
        <w:rPr>
          <w:b/>
        </w:rPr>
      </w:pPr>
    </w:p>
    <w:p w14:paraId="5B098444" w14:textId="77777777" w:rsidR="00A811DE" w:rsidRDefault="00A811DE" w:rsidP="00A811DE">
      <w:pPr>
        <w:jc w:val="left"/>
        <w:rPr>
          <w:b/>
        </w:rPr>
      </w:pPr>
    </w:p>
    <w:p w14:paraId="17241626" w14:textId="77777777" w:rsidR="00A811DE" w:rsidRPr="00A811DE" w:rsidRDefault="00A811DE" w:rsidP="00A811DE">
      <w:pPr>
        <w:jc w:val="left"/>
        <w:rPr>
          <w:b/>
        </w:rPr>
      </w:pPr>
    </w:p>
    <w:p w14:paraId="5E72636E" w14:textId="77777777" w:rsidR="00D57865" w:rsidRDefault="00D57865" w:rsidP="00FE5A12">
      <w:pPr>
        <w:pStyle w:val="Paragraphedeliste"/>
        <w:numPr>
          <w:ilvl w:val="0"/>
          <w:numId w:val="2"/>
        </w:numPr>
        <w:jc w:val="left"/>
        <w:rPr>
          <w:b/>
        </w:rPr>
      </w:pPr>
      <w:r>
        <w:rPr>
          <w:b/>
        </w:rPr>
        <w:t>Quel</w:t>
      </w:r>
      <w:r w:rsidR="00A811DE">
        <w:rPr>
          <w:b/>
        </w:rPr>
        <w:t>le</w:t>
      </w:r>
      <w:r>
        <w:rPr>
          <w:b/>
        </w:rPr>
        <w:t xml:space="preserve"> est la relation entre </w:t>
      </w:r>
      <w:r w:rsidRPr="00933ED5">
        <w:rPr>
          <w:b/>
        </w:rPr>
        <w:t>ces deux articles</w:t>
      </w:r>
      <w:r>
        <w:rPr>
          <w:b/>
        </w:rPr>
        <w:t> ?</w:t>
      </w:r>
    </w:p>
    <w:p w14:paraId="655D5291" w14:textId="77777777" w:rsidR="00A811DE" w:rsidRDefault="00A811DE" w:rsidP="00A811DE">
      <w:pPr>
        <w:jc w:val="left"/>
        <w:rPr>
          <w:b/>
        </w:rPr>
      </w:pPr>
    </w:p>
    <w:p w14:paraId="48357C30" w14:textId="77777777" w:rsidR="00A811DE" w:rsidRDefault="00A811DE" w:rsidP="00A811DE">
      <w:pPr>
        <w:jc w:val="left"/>
        <w:rPr>
          <w:b/>
        </w:rPr>
      </w:pPr>
    </w:p>
    <w:p w14:paraId="46EA0C69" w14:textId="77777777" w:rsidR="00A811DE" w:rsidRDefault="00A811DE" w:rsidP="00A811DE">
      <w:pPr>
        <w:jc w:val="left"/>
        <w:rPr>
          <w:b/>
        </w:rPr>
      </w:pPr>
    </w:p>
    <w:p w14:paraId="1BEB0338" w14:textId="77777777" w:rsidR="00A811DE" w:rsidRPr="00A811DE" w:rsidRDefault="00A811DE" w:rsidP="00A811DE">
      <w:pPr>
        <w:jc w:val="left"/>
        <w:rPr>
          <w:b/>
        </w:rPr>
      </w:pPr>
    </w:p>
    <w:p w14:paraId="21E7447A" w14:textId="77777777" w:rsidR="00D57865" w:rsidRPr="00933ED5" w:rsidRDefault="00D57865" w:rsidP="00FE5A12">
      <w:pPr>
        <w:pStyle w:val="Paragraphedeliste"/>
        <w:numPr>
          <w:ilvl w:val="0"/>
          <w:numId w:val="2"/>
        </w:numPr>
        <w:jc w:val="left"/>
        <w:rPr>
          <w:b/>
        </w:rPr>
      </w:pPr>
      <w:r>
        <w:rPr>
          <w:b/>
        </w:rPr>
        <w:t xml:space="preserve">Que signifie </w:t>
      </w:r>
      <w:proofErr w:type="spellStart"/>
      <w:r>
        <w:rPr>
          <w:b/>
        </w:rPr>
        <w:t>MtoM</w:t>
      </w:r>
      <w:proofErr w:type="spellEnd"/>
      <w:r>
        <w:rPr>
          <w:b/>
        </w:rPr>
        <w:t xml:space="preserve"> ou M2M ? est-ce l’internet des objets ?</w:t>
      </w:r>
    </w:p>
    <w:p w14:paraId="403ABA96" w14:textId="77777777" w:rsidR="00BF37FA" w:rsidRDefault="00BF37FA"/>
    <w:sectPr w:rsidR="00BF37FA" w:rsidSect="00637191">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27D0"/>
    <w:multiLevelType w:val="multilevel"/>
    <w:tmpl w:val="4CCA350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D007C89"/>
    <w:multiLevelType w:val="multilevel"/>
    <w:tmpl w:val="B8FAE76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982154845">
    <w:abstractNumId w:val="0"/>
  </w:num>
  <w:num w:numId="2" w16cid:durableId="1990010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65"/>
    <w:rsid w:val="00637191"/>
    <w:rsid w:val="00944A38"/>
    <w:rsid w:val="00A811DE"/>
    <w:rsid w:val="00B3101C"/>
    <w:rsid w:val="00BF37FA"/>
    <w:rsid w:val="00D57865"/>
    <w:rsid w:val="00F2057A"/>
    <w:rsid w:val="00FE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0969"/>
  <w15:chartTrackingRefBased/>
  <w15:docId w15:val="{2957A676-AC03-449C-95B4-BD134ACE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65"/>
    <w:pPr>
      <w:spacing w:after="0" w:line="240" w:lineRule="auto"/>
      <w:jc w:val="both"/>
    </w:pPr>
    <w:rPr>
      <w:rFonts w:ascii="Arial" w:eastAsia="Calibri" w:hAnsi="Arial" w:cs="Times New Roman"/>
    </w:rPr>
  </w:style>
  <w:style w:type="paragraph" w:styleId="Titre2">
    <w:name w:val="heading 2"/>
    <w:basedOn w:val="Normal"/>
    <w:link w:val="Titre2Car"/>
    <w:qFormat/>
    <w:rsid w:val="00D57865"/>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57865"/>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D57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2823</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2014-12-21T17:30:00Z</dcterms:created>
  <dcterms:modified xsi:type="dcterms:W3CDTF">2023-01-18T12:22:00Z</dcterms:modified>
</cp:coreProperties>
</file>