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555"/>
        <w:gridCol w:w="5811"/>
        <w:gridCol w:w="2324"/>
      </w:tblGrid>
      <w:tr w:rsidR="00CB54AA" w:rsidRPr="00C22356" w14:paraId="649CC4C2" w14:textId="77777777" w:rsidTr="00485817">
        <w:trPr>
          <w:trHeight w:val="386"/>
        </w:trPr>
        <w:tc>
          <w:tcPr>
            <w:tcW w:w="7366" w:type="dxa"/>
            <w:gridSpan w:val="2"/>
            <w:shd w:val="clear" w:color="auto" w:fill="92D050"/>
            <w:vAlign w:val="center"/>
          </w:tcPr>
          <w:p w14:paraId="246F29EC" w14:textId="77777777" w:rsidR="00CB54AA" w:rsidRPr="00C10072" w:rsidRDefault="00CB54AA" w:rsidP="00485817">
            <w:pPr>
              <w:pStyle w:val="Titre2"/>
              <w:spacing w:before="120"/>
              <w:jc w:val="center"/>
              <w:rPr>
                <w:szCs w:val="22"/>
              </w:rPr>
            </w:pPr>
            <w:bookmarkStart w:id="0" w:name="_Hlk528589601"/>
            <w:r w:rsidRPr="00C10072">
              <w:rPr>
                <w:szCs w:val="22"/>
              </w:rPr>
              <w:t>Mission 4 - Suivre les règlements</w:t>
            </w:r>
          </w:p>
        </w:tc>
        <w:tc>
          <w:tcPr>
            <w:tcW w:w="2324" w:type="dxa"/>
            <w:shd w:val="clear" w:color="auto" w:fill="92D050"/>
            <w:vAlign w:val="center"/>
          </w:tcPr>
          <w:p w14:paraId="57A80A37" w14:textId="77777777" w:rsidR="00CB54AA" w:rsidRPr="00C22356" w:rsidRDefault="00CB54AA" w:rsidP="00485817">
            <w:pPr>
              <w:spacing w:before="120"/>
              <w:jc w:val="center"/>
              <w:rPr>
                <w:b/>
              </w:rPr>
            </w:pPr>
            <w:r>
              <w:rPr>
                <w:rFonts w:ascii="Calibri" w:hAnsi="Calibri"/>
                <w:noProof/>
              </w:rPr>
              <w:drawing>
                <wp:inline distT="0" distB="0" distL="0" distR="0" wp14:anchorId="16D38D84" wp14:editId="4CE8AEBC">
                  <wp:extent cx="1264285" cy="600075"/>
                  <wp:effectExtent l="0" t="0" r="0" b="0"/>
                  <wp:docPr id="26" name="Image 26"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apture d’éc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4285" cy="600075"/>
                          </a:xfrm>
                          <a:prstGeom prst="rect">
                            <a:avLst/>
                          </a:prstGeom>
                          <a:noFill/>
                          <a:ln>
                            <a:noFill/>
                          </a:ln>
                        </pic:spPr>
                      </pic:pic>
                    </a:graphicData>
                  </a:graphic>
                </wp:inline>
              </w:drawing>
            </w:r>
          </w:p>
        </w:tc>
      </w:tr>
      <w:tr w:rsidR="00CB54AA" w:rsidRPr="00F25B1A" w14:paraId="6E0934E2" w14:textId="77777777" w:rsidTr="00F25B1A">
        <w:trPr>
          <w:trHeight w:val="386"/>
        </w:trPr>
        <w:tc>
          <w:tcPr>
            <w:tcW w:w="1555" w:type="dxa"/>
            <w:shd w:val="clear" w:color="auto" w:fill="92D050"/>
            <w:vAlign w:val="center"/>
          </w:tcPr>
          <w:p w14:paraId="6D352C14" w14:textId="77777777" w:rsidR="00CB54AA" w:rsidRPr="00F25B1A" w:rsidRDefault="00CB54AA" w:rsidP="00485817">
            <w:pPr>
              <w:jc w:val="left"/>
              <w:rPr>
                <w:sz w:val="20"/>
                <w:szCs w:val="20"/>
              </w:rPr>
            </w:pPr>
            <w:r w:rsidRPr="00F25B1A">
              <w:rPr>
                <w:sz w:val="20"/>
                <w:szCs w:val="20"/>
              </w:rPr>
              <w:t>Durée : 1 h 30</w:t>
            </w:r>
          </w:p>
        </w:tc>
        <w:tc>
          <w:tcPr>
            <w:tcW w:w="5811" w:type="dxa"/>
            <w:shd w:val="clear" w:color="auto" w:fill="92D050"/>
          </w:tcPr>
          <w:p w14:paraId="2BE8E0CC" w14:textId="77777777" w:rsidR="00CB54AA" w:rsidRPr="00F25B1A" w:rsidRDefault="00CB54AA" w:rsidP="00485817">
            <w:pPr>
              <w:jc w:val="center"/>
              <w:rPr>
                <w:sz w:val="20"/>
                <w:szCs w:val="20"/>
              </w:rPr>
            </w:pPr>
            <w:r w:rsidRPr="00F25B1A">
              <w:rPr>
                <w:noProof/>
                <w:sz w:val="20"/>
                <w:szCs w:val="20"/>
              </w:rPr>
              <w:drawing>
                <wp:inline distT="0" distB="0" distL="0" distR="0" wp14:anchorId="15843B77" wp14:editId="0CE9FD8E">
                  <wp:extent cx="324000" cy="324000"/>
                  <wp:effectExtent l="0" t="0" r="0" b="0"/>
                  <wp:docPr id="6" name="Graphique 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r w:rsidRPr="00F25B1A">
              <w:rPr>
                <w:sz w:val="20"/>
                <w:szCs w:val="20"/>
              </w:rPr>
              <w:t>ou</w:t>
            </w:r>
            <w:r w:rsidRPr="00F25B1A">
              <w:rPr>
                <w:noProof/>
                <w:sz w:val="20"/>
                <w:szCs w:val="20"/>
              </w:rPr>
              <w:drawing>
                <wp:inline distT="0" distB="0" distL="0" distR="0" wp14:anchorId="07B0E258" wp14:editId="27E7EE76">
                  <wp:extent cx="360000" cy="360000"/>
                  <wp:effectExtent l="0" t="0" r="0" b="2540"/>
                  <wp:docPr id="16" name="Graphique 16"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0000" cy="360000"/>
                          </a:xfrm>
                          <a:prstGeom prst="rect">
                            <a:avLst/>
                          </a:prstGeom>
                        </pic:spPr>
                      </pic:pic>
                    </a:graphicData>
                  </a:graphic>
                </wp:inline>
              </w:drawing>
            </w:r>
          </w:p>
        </w:tc>
        <w:tc>
          <w:tcPr>
            <w:tcW w:w="2324" w:type="dxa"/>
            <w:shd w:val="clear" w:color="auto" w:fill="92D050"/>
            <w:vAlign w:val="center"/>
          </w:tcPr>
          <w:p w14:paraId="2004AA62" w14:textId="77777777" w:rsidR="00CB54AA" w:rsidRPr="00F25B1A" w:rsidRDefault="00CB54AA" w:rsidP="00485817">
            <w:pPr>
              <w:jc w:val="center"/>
              <w:rPr>
                <w:b/>
                <w:sz w:val="20"/>
                <w:szCs w:val="20"/>
              </w:rPr>
            </w:pPr>
            <w:r w:rsidRPr="00F25B1A">
              <w:rPr>
                <w:b/>
                <w:sz w:val="20"/>
                <w:szCs w:val="20"/>
              </w:rPr>
              <w:t>Source | Source Excel</w:t>
            </w:r>
          </w:p>
        </w:tc>
      </w:tr>
    </w:tbl>
    <w:p w14:paraId="723EC6A6" w14:textId="77777777" w:rsidR="00CB54AA" w:rsidRDefault="00CB54AA" w:rsidP="00CB54AA">
      <w:pPr>
        <w:rPr>
          <w:sz w:val="24"/>
          <w:szCs w:val="24"/>
        </w:rPr>
      </w:pPr>
    </w:p>
    <w:tbl>
      <w:tblPr>
        <w:tblStyle w:val="Grilledutableau"/>
        <w:tblW w:w="9889" w:type="dxa"/>
        <w:tblLayout w:type="fixed"/>
        <w:tblLook w:val="04A0" w:firstRow="1" w:lastRow="0" w:firstColumn="1" w:lastColumn="0" w:noHBand="0" w:noVBand="1"/>
      </w:tblPr>
      <w:tblGrid>
        <w:gridCol w:w="9889"/>
      </w:tblGrid>
      <w:tr w:rsidR="00CB54AA" w14:paraId="7689D940" w14:textId="77777777" w:rsidTr="00485817">
        <w:trPr>
          <w:trHeight w:val="1407"/>
        </w:trPr>
        <w:tc>
          <w:tcPr>
            <w:tcW w:w="9889" w:type="dxa"/>
            <w:tcBorders>
              <w:top w:val="single" w:sz="4" w:space="0" w:color="auto"/>
              <w:left w:val="single" w:sz="4" w:space="0" w:color="auto"/>
              <w:bottom w:val="single" w:sz="4" w:space="0" w:color="auto"/>
              <w:right w:val="single" w:sz="4" w:space="0" w:color="auto"/>
            </w:tcBorders>
            <w:hideMark/>
          </w:tcPr>
          <w:p w14:paraId="6D57B494" w14:textId="77777777" w:rsidR="00CB54AA" w:rsidRPr="000B72A1" w:rsidRDefault="00CB54AA" w:rsidP="00485817">
            <w:pPr>
              <w:tabs>
                <w:tab w:val="left" w:pos="7905"/>
              </w:tabs>
              <w:rPr>
                <w:b/>
                <w:sz w:val="24"/>
                <w:szCs w:val="24"/>
              </w:rPr>
            </w:pPr>
            <w:bookmarkStart w:id="1" w:name="_Hlk527117777"/>
            <w:bookmarkStart w:id="2" w:name="_Hlk505157358"/>
            <w:bookmarkStart w:id="3" w:name="_Hlk528589982"/>
            <w:r w:rsidRPr="000B72A1">
              <w:rPr>
                <w:b/>
                <w:sz w:val="24"/>
                <w:szCs w:val="24"/>
              </w:rPr>
              <w:t>MBS - Micro Brasserie du Solliet</w:t>
            </w:r>
          </w:p>
          <w:p w14:paraId="58B78FB8" w14:textId="77777777" w:rsidR="00CB54AA" w:rsidRDefault="00CB54AA" w:rsidP="00485817">
            <w:pPr>
              <w:tabs>
                <w:tab w:val="left" w:pos="7905"/>
              </w:tabs>
              <w:rPr>
                <w:bCs/>
              </w:rPr>
            </w:pPr>
            <w:r>
              <w:rPr>
                <w:bCs/>
              </w:rPr>
              <w:t>23 Place de Charvin - 38000 Grenoble</w:t>
            </w:r>
          </w:p>
          <w:p w14:paraId="15116CB9" w14:textId="77777777" w:rsidR="00CB54AA" w:rsidRDefault="00CB54AA" w:rsidP="00485817">
            <w:pPr>
              <w:rPr>
                <w:lang w:val="en-US"/>
              </w:rPr>
            </w:pPr>
            <w:r>
              <w:t xml:space="preserve">Tél. : </w:t>
            </w:r>
            <w:r>
              <w:rPr>
                <w:bCs/>
              </w:rPr>
              <w:t xml:space="preserve">09 50 22 xx </w:t>
            </w:r>
            <w:proofErr w:type="spellStart"/>
            <w:r>
              <w:rPr>
                <w:bCs/>
              </w:rPr>
              <w:t>xx</w:t>
            </w:r>
            <w:proofErr w:type="spellEnd"/>
            <w:r>
              <w:rPr>
                <w:bCs/>
              </w:rPr>
              <w:t xml:space="preserve">  - </w:t>
            </w:r>
            <w:r>
              <w:rPr>
                <w:lang w:val="en-US"/>
              </w:rPr>
              <w:t xml:space="preserve">Mél : </w:t>
            </w:r>
            <w:hyperlink r:id="rId10" w:history="1">
              <w:r>
                <w:rPr>
                  <w:rStyle w:val="Lienhypertexte"/>
                  <w:lang w:val="en-US"/>
                </w:rPr>
                <w:t>accueil@mbs.com</w:t>
              </w:r>
            </w:hyperlink>
            <w:r>
              <w:rPr>
                <w:b/>
                <w:bCs/>
                <w:lang w:val="en-US"/>
              </w:rPr>
              <w:t xml:space="preserve">  -  </w:t>
            </w:r>
            <w:r>
              <w:rPr>
                <w:lang w:val="en-US"/>
              </w:rPr>
              <w:t xml:space="preserve">Site web : </w:t>
            </w:r>
            <w:hyperlink r:id="rId11" w:history="1">
              <w:r>
                <w:rPr>
                  <w:rStyle w:val="Lienhypertexte"/>
                  <w:lang w:val="en-US"/>
                </w:rPr>
                <w:t>http://www.mbs.com</w:t>
              </w:r>
            </w:hyperlink>
            <w:bookmarkEnd w:id="1"/>
            <w:r>
              <w:rPr>
                <w:lang w:val="en-US"/>
              </w:rPr>
              <w:t xml:space="preserve"> </w:t>
            </w:r>
            <w:bookmarkEnd w:id="2"/>
          </w:p>
          <w:bookmarkEnd w:id="3"/>
          <w:p w14:paraId="5884B7BE" w14:textId="77777777" w:rsidR="00CB54AA" w:rsidRDefault="00CB54AA" w:rsidP="00485817">
            <w:pPr>
              <w:tabs>
                <w:tab w:val="left" w:pos="426"/>
                <w:tab w:val="left" w:pos="1134"/>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textAlignment w:val="center"/>
              <w:rPr>
                <w:rFonts w:ascii="Calibri" w:hAnsi="Calibri"/>
                <w:noProof/>
              </w:rPr>
            </w:pPr>
            <w:r>
              <w:t>La société conçoit et commercialise des bières locales (Bière blanche, bière brune, bière ambré, bière de montagne…) qu’elle fait fabriquer par un sous-traitant. Elle participe à des évènements festifs ou des salons et foires (fête de la bière, fête du patrimoine, fête de village, salon du bien-être…)</w:t>
            </w:r>
          </w:p>
        </w:tc>
      </w:tr>
    </w:tbl>
    <w:p w14:paraId="2160554D" w14:textId="77777777" w:rsidR="00CB54AA" w:rsidRPr="00D9545A" w:rsidRDefault="00CB54AA" w:rsidP="00CB54AA">
      <w:pPr>
        <w:spacing w:before="240" w:after="120"/>
        <w:rPr>
          <w:b/>
          <w:sz w:val="24"/>
          <w:szCs w:val="24"/>
        </w:rPr>
      </w:pPr>
      <w:r w:rsidRPr="00D9545A">
        <w:rPr>
          <w:b/>
          <w:sz w:val="24"/>
          <w:szCs w:val="24"/>
        </w:rPr>
        <w:t>Contexte professionnel</w:t>
      </w:r>
    </w:p>
    <w:p w14:paraId="07B537EE" w14:textId="77777777" w:rsidR="00CB54AA" w:rsidRPr="00CB54AA" w:rsidRDefault="00CB54AA" w:rsidP="00CB54AA">
      <w:pPr>
        <w:spacing w:before="120"/>
        <w:rPr>
          <w:sz w:val="20"/>
        </w:rPr>
      </w:pPr>
      <w:r w:rsidRPr="00CB54AA">
        <w:rPr>
          <w:sz w:val="20"/>
        </w:rPr>
        <w:t>La société MBS utilise un PGI pour sa gestion commerciale, mais M</w:t>
      </w:r>
      <w:r w:rsidRPr="00CB54AA">
        <w:rPr>
          <w:sz w:val="20"/>
          <w:vertAlign w:val="superscript"/>
        </w:rPr>
        <w:t>me</w:t>
      </w:r>
      <w:r w:rsidRPr="00CB54AA">
        <w:rPr>
          <w:sz w:val="20"/>
        </w:rPr>
        <w:t xml:space="preserve"> Carroul (comptable), préfère réaliser le suivi des règlements sur Excel. </w:t>
      </w:r>
    </w:p>
    <w:p w14:paraId="4E2F477A" w14:textId="77777777" w:rsidR="00CB54AA" w:rsidRPr="00CB54AA" w:rsidRDefault="00CB54AA" w:rsidP="00CB54AA">
      <w:pPr>
        <w:spacing w:before="120"/>
        <w:rPr>
          <w:sz w:val="20"/>
        </w:rPr>
      </w:pPr>
      <w:r w:rsidRPr="00CB54AA">
        <w:rPr>
          <w:sz w:val="20"/>
        </w:rPr>
        <w:t>M</w:t>
      </w:r>
      <w:r w:rsidRPr="00CB54AA">
        <w:rPr>
          <w:sz w:val="20"/>
          <w:vertAlign w:val="superscript"/>
        </w:rPr>
        <w:t>me</w:t>
      </w:r>
      <w:r w:rsidRPr="00CB54AA">
        <w:rPr>
          <w:sz w:val="20"/>
        </w:rPr>
        <w:t xml:space="preserve"> Carroul, consacre le vendredi matin à la facturation puis à la saisie des règlements. Lorsqu’elle a </w:t>
      </w:r>
      <w:proofErr w:type="gramStart"/>
      <w:r w:rsidRPr="00CB54AA">
        <w:rPr>
          <w:sz w:val="20"/>
        </w:rPr>
        <w:t>terminée</w:t>
      </w:r>
      <w:proofErr w:type="gramEnd"/>
      <w:r w:rsidRPr="00CB54AA">
        <w:rPr>
          <w:sz w:val="20"/>
        </w:rPr>
        <w:t>, elle exporte, par copier-coller, les factures du PGI, dans la base Excel de suivi des règlements. Elle dépose les chèques à la banque le vendredi après-midi.</w:t>
      </w:r>
    </w:p>
    <w:p w14:paraId="06D5FEFF" w14:textId="77777777" w:rsidR="00CB54AA" w:rsidRPr="00CB54AA" w:rsidRDefault="00CB54AA" w:rsidP="00CB54AA">
      <w:pPr>
        <w:spacing w:before="120"/>
        <w:rPr>
          <w:sz w:val="20"/>
        </w:rPr>
      </w:pPr>
      <w:r w:rsidRPr="00CB54AA">
        <w:rPr>
          <w:sz w:val="20"/>
        </w:rPr>
        <w:t>La base de données Excel enregistre toutes les factures avec les dates d’échéance, de règlements et les relances réalisées.</w:t>
      </w:r>
    </w:p>
    <w:p w14:paraId="5AA430C9" w14:textId="77777777" w:rsidR="00CB54AA" w:rsidRPr="005F1358" w:rsidRDefault="00CB54AA" w:rsidP="00CB54AA">
      <w:pPr>
        <w:jc w:val="center"/>
        <w:rPr>
          <w:b/>
          <w:i/>
          <w:szCs w:val="24"/>
        </w:rPr>
      </w:pPr>
      <w:r w:rsidRPr="005F1358">
        <w:rPr>
          <w:b/>
          <w:i/>
          <w:szCs w:val="24"/>
        </w:rPr>
        <w:t>Extrait de la base de données</w:t>
      </w:r>
    </w:p>
    <w:p w14:paraId="67F0790A" w14:textId="77777777" w:rsidR="00CB54AA" w:rsidRDefault="00CB54AA" w:rsidP="00CB54AA">
      <w:pPr>
        <w:jc w:val="center"/>
        <w:rPr>
          <w:szCs w:val="24"/>
        </w:rPr>
      </w:pPr>
      <w:r>
        <w:rPr>
          <w:noProof/>
          <w:szCs w:val="24"/>
          <w:lang w:eastAsia="fr-FR"/>
        </w:rPr>
        <w:drawing>
          <wp:inline distT="0" distB="0" distL="0" distR="0" wp14:anchorId="07B3E9F4" wp14:editId="1C22FB40">
            <wp:extent cx="5937429" cy="534010"/>
            <wp:effectExtent l="19050" t="19050" r="6350" b="19050"/>
            <wp:docPr id="19" name="Image 19"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table&#10;&#10;Description générée automatiquement"/>
                    <pic:cNvPicPr/>
                  </pic:nvPicPr>
                  <pic:blipFill rotWithShape="1">
                    <a:blip r:embed="rId12">
                      <a:extLst>
                        <a:ext uri="{28A0092B-C50C-407E-A947-70E740481C1C}">
                          <a14:useLocalDpi xmlns:a14="http://schemas.microsoft.com/office/drawing/2010/main" val="0"/>
                        </a:ext>
                      </a:extLst>
                    </a:blip>
                    <a:srcRect b="56857"/>
                    <a:stretch/>
                  </pic:blipFill>
                  <pic:spPr bwMode="auto">
                    <a:xfrm>
                      <a:off x="0" y="0"/>
                      <a:ext cx="5939790" cy="534222"/>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0F6075AA" w14:textId="77777777" w:rsidR="00CB54AA" w:rsidRPr="005F1358" w:rsidRDefault="00CB54AA" w:rsidP="00CB54AA">
      <w:pPr>
        <w:spacing w:before="120"/>
        <w:rPr>
          <w:b/>
          <w:szCs w:val="24"/>
        </w:rPr>
      </w:pPr>
      <w:r w:rsidRPr="005F1358">
        <w:rPr>
          <w:b/>
          <w:szCs w:val="24"/>
        </w:rPr>
        <w:t>Condition</w:t>
      </w:r>
      <w:r>
        <w:rPr>
          <w:b/>
          <w:szCs w:val="24"/>
        </w:rPr>
        <w:t>s</w:t>
      </w:r>
      <w:r w:rsidRPr="005F1358">
        <w:rPr>
          <w:b/>
          <w:szCs w:val="24"/>
        </w:rPr>
        <w:t xml:space="preserve"> de payement</w:t>
      </w:r>
    </w:p>
    <w:p w14:paraId="028EA5FF" w14:textId="77777777" w:rsidR="00CB54AA" w:rsidRPr="00CB54AA" w:rsidRDefault="00CB54AA" w:rsidP="00CB54AA">
      <w:pPr>
        <w:pStyle w:val="Paragraphedeliste"/>
        <w:numPr>
          <w:ilvl w:val="0"/>
          <w:numId w:val="3"/>
        </w:numPr>
        <w:spacing w:before="120"/>
        <w:rPr>
          <w:sz w:val="20"/>
        </w:rPr>
      </w:pPr>
      <w:r w:rsidRPr="00CB54AA">
        <w:rPr>
          <w:sz w:val="20"/>
        </w:rPr>
        <w:t>Les particuliers payent à la commande, mais certains clients fidèles payent à réception de la facture.</w:t>
      </w:r>
    </w:p>
    <w:p w14:paraId="3582D3B2" w14:textId="77777777" w:rsidR="00CB54AA" w:rsidRPr="00CB54AA" w:rsidRDefault="00CB54AA" w:rsidP="00CB54AA">
      <w:pPr>
        <w:pStyle w:val="Paragraphedeliste"/>
        <w:numPr>
          <w:ilvl w:val="0"/>
          <w:numId w:val="3"/>
        </w:numPr>
        <w:spacing w:before="120"/>
        <w:rPr>
          <w:sz w:val="20"/>
        </w:rPr>
      </w:pPr>
      <w:r w:rsidRPr="00CB54AA">
        <w:rPr>
          <w:sz w:val="20"/>
        </w:rPr>
        <w:t xml:space="preserve">les entreprises payent à 30 jours. </w:t>
      </w:r>
    </w:p>
    <w:p w14:paraId="77002602" w14:textId="77777777" w:rsidR="00CB54AA" w:rsidRPr="00CB54AA" w:rsidRDefault="00CB54AA" w:rsidP="00CB54AA">
      <w:pPr>
        <w:spacing w:before="240"/>
        <w:rPr>
          <w:sz w:val="20"/>
        </w:rPr>
      </w:pPr>
      <w:r w:rsidRPr="00CB54AA">
        <w:rPr>
          <w:sz w:val="20"/>
        </w:rPr>
        <w:t>Jusqu’à présent, les impayés n’ont pas posé de problèmes et, une fois par mois, M</w:t>
      </w:r>
      <w:r w:rsidRPr="00CB54AA">
        <w:rPr>
          <w:sz w:val="20"/>
          <w:vertAlign w:val="superscript"/>
        </w:rPr>
        <w:t>me</w:t>
      </w:r>
      <w:r w:rsidRPr="00CB54AA">
        <w:rPr>
          <w:sz w:val="20"/>
        </w:rPr>
        <w:t xml:space="preserve"> Carroul réalise les relances par téléphone. Cependant, depuis le début de l’année, le montant des impayés s’accroît de façon significative.</w:t>
      </w:r>
    </w:p>
    <w:p w14:paraId="5BBF2378" w14:textId="77777777" w:rsidR="00CB54AA" w:rsidRPr="00CB54AA" w:rsidRDefault="00CB54AA" w:rsidP="00CB54AA">
      <w:pPr>
        <w:spacing w:before="120"/>
        <w:rPr>
          <w:sz w:val="20"/>
        </w:rPr>
      </w:pPr>
      <w:r w:rsidRPr="00CB54AA">
        <w:rPr>
          <w:sz w:val="20"/>
        </w:rPr>
        <w:t>M</w:t>
      </w:r>
      <w:r w:rsidRPr="00CB54AA">
        <w:rPr>
          <w:sz w:val="20"/>
          <w:vertAlign w:val="superscript"/>
        </w:rPr>
        <w:t>me</w:t>
      </w:r>
      <w:r w:rsidRPr="00CB54AA">
        <w:rPr>
          <w:sz w:val="20"/>
        </w:rPr>
        <w:t xml:space="preserve"> Carroul vous remet le 27 mars la base de données après avoir enregistré les factures de la semaine. Elle vous demande de l’aider dans son travail hebdomadaire.</w:t>
      </w:r>
    </w:p>
    <w:p w14:paraId="4EC09F77" w14:textId="77777777" w:rsidR="00CB54AA" w:rsidRPr="00CB54AA" w:rsidRDefault="00CB54AA" w:rsidP="00CB54AA">
      <w:pPr>
        <w:spacing w:before="120"/>
        <w:rPr>
          <w:sz w:val="20"/>
        </w:rPr>
      </w:pPr>
      <w:r w:rsidRPr="00CB54AA">
        <w:rPr>
          <w:sz w:val="20"/>
        </w:rPr>
        <w:t>M</w:t>
      </w:r>
      <w:r w:rsidRPr="00CB54AA">
        <w:rPr>
          <w:sz w:val="20"/>
          <w:vertAlign w:val="superscript"/>
        </w:rPr>
        <w:t>me</w:t>
      </w:r>
      <w:r w:rsidRPr="00CB54AA">
        <w:rPr>
          <w:sz w:val="20"/>
        </w:rPr>
        <w:t xml:space="preserve"> Carroul décide de mettre en places une procédure de relance en 4 temps :</w:t>
      </w:r>
    </w:p>
    <w:p w14:paraId="4EB26F26" w14:textId="77777777" w:rsidR="00CB54AA" w:rsidRPr="00CB54AA" w:rsidRDefault="00CB54AA" w:rsidP="00CB54AA">
      <w:pPr>
        <w:pStyle w:val="Paragraphedeliste"/>
        <w:numPr>
          <w:ilvl w:val="0"/>
          <w:numId w:val="5"/>
        </w:numPr>
        <w:ind w:left="284" w:hanging="284"/>
        <w:rPr>
          <w:sz w:val="20"/>
        </w:rPr>
      </w:pPr>
      <w:r w:rsidRPr="00CB54AA">
        <w:rPr>
          <w:b/>
          <w:sz w:val="20"/>
        </w:rPr>
        <w:t>étape 1</w:t>
      </w:r>
      <w:r w:rsidRPr="00CB54AA">
        <w:rPr>
          <w:sz w:val="20"/>
        </w:rPr>
        <w:t> : par téléphone dans la semaine qui suit l’absence de règlement à échéance ;</w:t>
      </w:r>
    </w:p>
    <w:p w14:paraId="2E5ED342" w14:textId="77777777" w:rsidR="00CB54AA" w:rsidRPr="00CB54AA" w:rsidRDefault="00CB54AA" w:rsidP="00CB54AA">
      <w:pPr>
        <w:pStyle w:val="Paragraphedeliste"/>
        <w:numPr>
          <w:ilvl w:val="0"/>
          <w:numId w:val="5"/>
        </w:numPr>
        <w:ind w:left="284" w:hanging="284"/>
        <w:rPr>
          <w:sz w:val="20"/>
        </w:rPr>
      </w:pPr>
      <w:r w:rsidRPr="00CB54AA">
        <w:rPr>
          <w:b/>
          <w:sz w:val="20"/>
        </w:rPr>
        <w:t>étape 2</w:t>
      </w:r>
      <w:r w:rsidRPr="00CB54AA">
        <w:rPr>
          <w:sz w:val="20"/>
        </w:rPr>
        <w:t xml:space="preserve"> : par lettre de rappel de niveau 1 qui est envoyé avec un retard de 30 jours ;  </w:t>
      </w:r>
    </w:p>
    <w:p w14:paraId="06DB4546" w14:textId="77777777" w:rsidR="00CB54AA" w:rsidRPr="00CB54AA" w:rsidRDefault="00CB54AA" w:rsidP="00CB54AA">
      <w:pPr>
        <w:pStyle w:val="Paragraphedeliste"/>
        <w:numPr>
          <w:ilvl w:val="0"/>
          <w:numId w:val="5"/>
        </w:numPr>
        <w:ind w:left="284" w:hanging="284"/>
        <w:rPr>
          <w:sz w:val="20"/>
        </w:rPr>
      </w:pPr>
      <w:r w:rsidRPr="00CB54AA">
        <w:rPr>
          <w:b/>
          <w:sz w:val="20"/>
        </w:rPr>
        <w:t>étape 3</w:t>
      </w:r>
      <w:r w:rsidRPr="00CB54AA">
        <w:rPr>
          <w:sz w:val="20"/>
        </w:rPr>
        <w:t xml:space="preserve"> : par lettre de rappel ferme de niveau 2 qui est envoyé avec un retard de 60 jours ; </w:t>
      </w:r>
    </w:p>
    <w:p w14:paraId="24FD4E0C" w14:textId="77777777" w:rsidR="00CB54AA" w:rsidRPr="00CB54AA" w:rsidRDefault="00CB54AA" w:rsidP="00CB54AA">
      <w:pPr>
        <w:pStyle w:val="Paragraphedeliste"/>
        <w:numPr>
          <w:ilvl w:val="0"/>
          <w:numId w:val="5"/>
        </w:numPr>
        <w:ind w:left="284" w:hanging="284"/>
        <w:rPr>
          <w:b/>
          <w:sz w:val="20"/>
        </w:rPr>
      </w:pPr>
      <w:r w:rsidRPr="00CB54AA">
        <w:rPr>
          <w:b/>
          <w:sz w:val="20"/>
        </w:rPr>
        <w:t>étape 4</w:t>
      </w:r>
      <w:r w:rsidRPr="00CB54AA">
        <w:rPr>
          <w:sz w:val="20"/>
        </w:rPr>
        <w:t> : par une mise en demeure de payer avec accusé réception qui signale le transfert du dossier à notre service contentieux (avocat).</w:t>
      </w:r>
    </w:p>
    <w:p w14:paraId="24A7DE01" w14:textId="77777777" w:rsidR="00CB54AA" w:rsidRPr="00CB54AA" w:rsidRDefault="00CB54AA" w:rsidP="00CB54AA">
      <w:pPr>
        <w:spacing w:before="120"/>
        <w:rPr>
          <w:sz w:val="20"/>
        </w:rPr>
      </w:pPr>
      <w:r w:rsidRPr="00CB54AA">
        <w:rPr>
          <w:rFonts w:cs="Arial"/>
          <w:sz w:val="20"/>
        </w:rPr>
        <w:t>À</w:t>
      </w:r>
      <w:r w:rsidRPr="00CB54AA">
        <w:rPr>
          <w:sz w:val="20"/>
        </w:rPr>
        <w:t xml:space="preserve"> ce jour toutes les personnes qui sont en retard de règlement on fait l’objet d’un appel téléphonique pour leur rappeler leur dette. </w:t>
      </w:r>
    </w:p>
    <w:p w14:paraId="56FC9651" w14:textId="77777777" w:rsidR="00CB54AA" w:rsidRPr="00F275DB" w:rsidRDefault="00CB54AA" w:rsidP="00CB54AA">
      <w:pPr>
        <w:spacing w:before="240" w:after="120"/>
        <w:rPr>
          <w:b/>
          <w:sz w:val="24"/>
          <w:szCs w:val="24"/>
        </w:rPr>
      </w:pPr>
      <w:r w:rsidRPr="00F275DB">
        <w:rPr>
          <w:b/>
          <w:sz w:val="24"/>
          <w:szCs w:val="24"/>
        </w:rPr>
        <w:t>Travail à faire</w:t>
      </w:r>
    </w:p>
    <w:p w14:paraId="331F85FB" w14:textId="77777777" w:rsidR="00CB54AA" w:rsidRPr="00CB54AA" w:rsidRDefault="00CB54AA" w:rsidP="00CB54AA">
      <w:pPr>
        <w:pStyle w:val="Paragraphedeliste"/>
        <w:numPr>
          <w:ilvl w:val="0"/>
          <w:numId w:val="2"/>
        </w:numPr>
        <w:ind w:left="284" w:hanging="284"/>
        <w:rPr>
          <w:bCs/>
          <w:sz w:val="20"/>
          <w:szCs w:val="20"/>
        </w:rPr>
      </w:pPr>
      <w:r w:rsidRPr="00CB54AA">
        <w:rPr>
          <w:bCs/>
          <w:sz w:val="20"/>
          <w:szCs w:val="20"/>
        </w:rPr>
        <w:t>Chargez la base de données Excel (source Excel) puis récapitulez dans un tableau les chiffres d’affaires mensuels et les impayés mensuels en faisant ressortir les impayés des entreprises et ceux des particuliers.</w:t>
      </w:r>
    </w:p>
    <w:p w14:paraId="5B63BEE1" w14:textId="77777777" w:rsidR="00CB54AA" w:rsidRPr="00CB54AA" w:rsidRDefault="00CB54AA" w:rsidP="00CB54AA">
      <w:pPr>
        <w:pStyle w:val="Paragraphedeliste"/>
        <w:numPr>
          <w:ilvl w:val="0"/>
          <w:numId w:val="2"/>
        </w:numPr>
        <w:ind w:left="284" w:hanging="284"/>
        <w:rPr>
          <w:bCs/>
          <w:sz w:val="20"/>
          <w:szCs w:val="20"/>
        </w:rPr>
      </w:pPr>
      <w:r w:rsidRPr="00CB54AA">
        <w:rPr>
          <w:bCs/>
          <w:sz w:val="20"/>
          <w:szCs w:val="20"/>
        </w:rPr>
        <w:t>Rédigez les matrices des 3 lettres type de rappel.</w:t>
      </w:r>
    </w:p>
    <w:p w14:paraId="1C9EAFA2" w14:textId="77777777" w:rsidR="00CB54AA" w:rsidRPr="00CB54AA" w:rsidRDefault="00CB54AA" w:rsidP="00CB54AA">
      <w:pPr>
        <w:pStyle w:val="Paragraphedeliste"/>
        <w:numPr>
          <w:ilvl w:val="0"/>
          <w:numId w:val="2"/>
        </w:numPr>
        <w:spacing w:after="120"/>
        <w:ind w:left="284" w:hanging="284"/>
        <w:rPr>
          <w:bCs/>
          <w:sz w:val="20"/>
          <w:szCs w:val="20"/>
        </w:rPr>
      </w:pPr>
      <w:r w:rsidRPr="00CB54AA">
        <w:rPr>
          <w:rFonts w:cs="Arial"/>
          <w:bCs/>
          <w:sz w:val="20"/>
          <w:szCs w:val="20"/>
        </w:rPr>
        <w:t>É</w:t>
      </w:r>
      <w:r w:rsidRPr="00CB54AA">
        <w:rPr>
          <w:bCs/>
          <w:sz w:val="20"/>
          <w:szCs w:val="20"/>
        </w:rPr>
        <w:t>ditez la liste des personnes à appeler, celles qui doivent recevoir la lettre 1, la lettre 2 et la lettre 3.</w:t>
      </w:r>
    </w:p>
    <w:p w14:paraId="0EC490ED" w14:textId="77777777" w:rsidR="00CB54AA" w:rsidRPr="00851BAB" w:rsidRDefault="00CB54AA" w:rsidP="00CB54AA">
      <w:pPr>
        <w:shd w:val="clear" w:color="auto" w:fill="C5E0B3" w:themeFill="accent6" w:themeFillTint="66"/>
        <w:rPr>
          <w:sz w:val="18"/>
        </w:rPr>
      </w:pPr>
      <w:r w:rsidRPr="00851BAB">
        <w:rPr>
          <w:b/>
          <w:bCs/>
          <w:sz w:val="18"/>
        </w:rPr>
        <w:t>Procédures</w:t>
      </w:r>
      <w:r w:rsidRPr="00851BAB">
        <w:rPr>
          <w:sz w:val="18"/>
        </w:rPr>
        <w:t> :</w:t>
      </w:r>
    </w:p>
    <w:p w14:paraId="25F89AFB" w14:textId="77777777" w:rsidR="00CB54AA" w:rsidRPr="00851BAB" w:rsidRDefault="00CB54AA" w:rsidP="00CB54AA">
      <w:pPr>
        <w:pStyle w:val="Paragraphedeliste"/>
        <w:numPr>
          <w:ilvl w:val="0"/>
          <w:numId w:val="1"/>
        </w:numPr>
        <w:shd w:val="clear" w:color="auto" w:fill="C5E0B3" w:themeFill="accent6" w:themeFillTint="66"/>
        <w:rPr>
          <w:sz w:val="18"/>
        </w:rPr>
      </w:pPr>
      <w:r w:rsidRPr="00851BAB">
        <w:rPr>
          <w:sz w:val="18"/>
        </w:rPr>
        <w:t xml:space="preserve">Filtrez les règlements vides. </w:t>
      </w:r>
    </w:p>
    <w:p w14:paraId="4D5E6294" w14:textId="77777777" w:rsidR="00CB54AA" w:rsidRPr="00851BAB" w:rsidRDefault="00CB54AA" w:rsidP="00CB54AA">
      <w:pPr>
        <w:pStyle w:val="Paragraphedeliste"/>
        <w:numPr>
          <w:ilvl w:val="0"/>
          <w:numId w:val="1"/>
        </w:numPr>
        <w:shd w:val="clear" w:color="auto" w:fill="C5E0B3" w:themeFill="accent6" w:themeFillTint="66"/>
        <w:rPr>
          <w:sz w:val="18"/>
        </w:rPr>
      </w:pPr>
      <w:r w:rsidRPr="00851BAB">
        <w:rPr>
          <w:sz w:val="18"/>
        </w:rPr>
        <w:t>Filtrez sur les dates d’échéance et ne conservez que les dates antérieures au 27 mars.</w:t>
      </w:r>
    </w:p>
    <w:p w14:paraId="38F8A7F9" w14:textId="77777777" w:rsidR="00CB54AA" w:rsidRPr="00851BAB" w:rsidRDefault="00CB54AA" w:rsidP="00CB54AA">
      <w:pPr>
        <w:pStyle w:val="Paragraphedeliste"/>
        <w:numPr>
          <w:ilvl w:val="0"/>
          <w:numId w:val="1"/>
        </w:numPr>
        <w:shd w:val="clear" w:color="auto" w:fill="C5E0B3" w:themeFill="accent6" w:themeFillTint="66"/>
        <w:rPr>
          <w:sz w:val="18"/>
        </w:rPr>
      </w:pPr>
      <w:r w:rsidRPr="00851BAB">
        <w:rPr>
          <w:sz w:val="18"/>
        </w:rPr>
        <w:t>Saisissez le code de la relance à faire dans la colonne correspondante.</w:t>
      </w:r>
    </w:p>
    <w:p w14:paraId="3650DDFD" w14:textId="77777777" w:rsidR="00CB54AA" w:rsidRPr="00851BAB" w:rsidRDefault="00CB54AA" w:rsidP="00CB54AA">
      <w:pPr>
        <w:pStyle w:val="Paragraphedeliste"/>
        <w:shd w:val="clear" w:color="auto" w:fill="C5E0B3" w:themeFill="accent6" w:themeFillTint="66"/>
        <w:ind w:left="0"/>
        <w:rPr>
          <w:sz w:val="18"/>
        </w:rPr>
      </w:pPr>
      <w:r>
        <w:rPr>
          <w:b/>
          <w:sz w:val="18"/>
        </w:rPr>
        <w:t xml:space="preserve">     </w:t>
      </w:r>
      <w:r w:rsidRPr="00851BAB">
        <w:rPr>
          <w:b/>
          <w:sz w:val="18"/>
        </w:rPr>
        <w:t>1</w:t>
      </w:r>
      <w:r w:rsidRPr="00851BAB">
        <w:rPr>
          <w:sz w:val="18"/>
        </w:rPr>
        <w:t> : pour les factures dont l’échéance est avant le 27/2.</w:t>
      </w:r>
    </w:p>
    <w:p w14:paraId="57610747" w14:textId="77777777" w:rsidR="00CB54AA" w:rsidRPr="00851BAB" w:rsidRDefault="00CB54AA" w:rsidP="00CB54AA">
      <w:pPr>
        <w:pStyle w:val="Paragraphedeliste"/>
        <w:shd w:val="clear" w:color="auto" w:fill="C5E0B3" w:themeFill="accent6" w:themeFillTint="66"/>
        <w:ind w:left="0"/>
        <w:rPr>
          <w:sz w:val="18"/>
        </w:rPr>
      </w:pPr>
      <w:r>
        <w:rPr>
          <w:b/>
          <w:sz w:val="18"/>
        </w:rPr>
        <w:t xml:space="preserve">     </w:t>
      </w:r>
      <w:r w:rsidRPr="00851BAB">
        <w:rPr>
          <w:b/>
          <w:sz w:val="18"/>
        </w:rPr>
        <w:t>2</w:t>
      </w:r>
      <w:r w:rsidRPr="00851BAB">
        <w:rPr>
          <w:sz w:val="18"/>
        </w:rPr>
        <w:t> : pour les factures dont l’échéance est avant le 27/1.</w:t>
      </w:r>
    </w:p>
    <w:p w14:paraId="40611CDD" w14:textId="77777777" w:rsidR="00CB54AA" w:rsidRPr="00851BAB" w:rsidRDefault="00CB54AA" w:rsidP="00CB54AA">
      <w:pPr>
        <w:pStyle w:val="Paragraphedeliste"/>
        <w:shd w:val="clear" w:color="auto" w:fill="C5E0B3" w:themeFill="accent6" w:themeFillTint="66"/>
        <w:ind w:left="0"/>
        <w:rPr>
          <w:sz w:val="18"/>
        </w:rPr>
      </w:pPr>
      <w:r>
        <w:rPr>
          <w:b/>
          <w:sz w:val="18"/>
        </w:rPr>
        <w:t xml:space="preserve">     </w:t>
      </w:r>
      <w:r w:rsidRPr="00851BAB">
        <w:rPr>
          <w:b/>
          <w:sz w:val="18"/>
        </w:rPr>
        <w:t>3</w:t>
      </w:r>
      <w:r w:rsidRPr="00851BAB">
        <w:rPr>
          <w:sz w:val="18"/>
        </w:rPr>
        <w:t> : pour les factures dont l’échéance est avant le 27/12.</w:t>
      </w:r>
    </w:p>
    <w:p w14:paraId="689D1D9A" w14:textId="77777777" w:rsidR="00CB54AA" w:rsidRDefault="00CB54AA" w:rsidP="00CB54AA">
      <w:pPr>
        <w:pStyle w:val="Paragraphedeliste"/>
        <w:ind w:left="1854"/>
        <w:rPr>
          <w:b/>
          <w:szCs w:val="24"/>
        </w:rPr>
      </w:pPr>
    </w:p>
    <w:p w14:paraId="661D2DD8" w14:textId="5C864EB1" w:rsidR="00BF37FA" w:rsidRPr="00CB54AA" w:rsidRDefault="00CB54AA" w:rsidP="00CB54AA">
      <w:pPr>
        <w:pStyle w:val="Paragraphedeliste"/>
        <w:numPr>
          <w:ilvl w:val="0"/>
          <w:numId w:val="2"/>
        </w:numPr>
        <w:ind w:left="426"/>
      </w:pPr>
      <w:r w:rsidRPr="00CB54AA">
        <w:rPr>
          <w:bCs/>
          <w:sz w:val="20"/>
          <w:szCs w:val="20"/>
        </w:rPr>
        <w:t>Réalisez les publipostages des lettres envoyées le 27 mars aux différents clients (facultatif).</w:t>
      </w:r>
      <w:bookmarkEnd w:id="0"/>
    </w:p>
    <w:sectPr w:rsidR="00BF37FA" w:rsidRPr="00CB54AA" w:rsidSect="00CB54AA">
      <w:pgSz w:w="11906" w:h="16838"/>
      <w:pgMar w:top="851" w:right="851"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7452"/>
    <w:multiLevelType w:val="hybridMultilevel"/>
    <w:tmpl w:val="74D238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C340D2"/>
    <w:multiLevelType w:val="hybridMultilevel"/>
    <w:tmpl w:val="EBC218BE"/>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 w15:restartNumberingAfterBreak="0">
    <w:nsid w:val="41621777"/>
    <w:multiLevelType w:val="hybridMultilevel"/>
    <w:tmpl w:val="E7681F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8EE035F"/>
    <w:multiLevelType w:val="hybridMultilevel"/>
    <w:tmpl w:val="19A431AA"/>
    <w:lvl w:ilvl="0" w:tplc="CB8E93F2">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20277AB"/>
    <w:multiLevelType w:val="hybridMultilevel"/>
    <w:tmpl w:val="7172A27E"/>
    <w:lvl w:ilvl="0" w:tplc="CB8E93F2">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898473199">
    <w:abstractNumId w:val="3"/>
  </w:num>
  <w:num w:numId="2" w16cid:durableId="18705088">
    <w:abstractNumId w:val="1"/>
  </w:num>
  <w:num w:numId="3" w16cid:durableId="1392002319">
    <w:abstractNumId w:val="2"/>
  </w:num>
  <w:num w:numId="4" w16cid:durableId="425080926">
    <w:abstractNumId w:val="0"/>
  </w:num>
  <w:num w:numId="5" w16cid:durableId="12377899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1B1"/>
    <w:rsid w:val="000F2806"/>
    <w:rsid w:val="004D420C"/>
    <w:rsid w:val="00630939"/>
    <w:rsid w:val="006441B1"/>
    <w:rsid w:val="00657D25"/>
    <w:rsid w:val="008E3BA3"/>
    <w:rsid w:val="00944A38"/>
    <w:rsid w:val="00BF37FA"/>
    <w:rsid w:val="00CB54AA"/>
    <w:rsid w:val="00F25B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5B72"/>
  <w15:chartTrackingRefBased/>
  <w15:docId w15:val="{489E719E-E956-4DF8-A142-EA7D774E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1B1"/>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6441B1"/>
    <w:pPr>
      <w:spacing w:after="120"/>
      <w:outlineLvl w:val="0"/>
    </w:pPr>
    <w:rPr>
      <w:rFonts w:eastAsia="Times New Roman"/>
      <w:b/>
      <w:color w:val="000000"/>
      <w:sz w:val="32"/>
      <w:szCs w:val="20"/>
      <w:lang w:eastAsia="fr-FR"/>
    </w:rPr>
  </w:style>
  <w:style w:type="paragraph" w:styleId="Titre2">
    <w:name w:val="heading 2"/>
    <w:basedOn w:val="Normal"/>
    <w:link w:val="Titre2Car"/>
    <w:qFormat/>
    <w:rsid w:val="006441B1"/>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41B1"/>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rsid w:val="006441B1"/>
    <w:rPr>
      <w:rFonts w:ascii="Arial" w:eastAsia="Times New Roman" w:hAnsi="Arial" w:cs="Arial"/>
      <w:b/>
      <w:color w:val="000000"/>
      <w:sz w:val="28"/>
      <w:szCs w:val="20"/>
      <w:lang w:eastAsia="fr-FR"/>
    </w:rPr>
  </w:style>
  <w:style w:type="character" w:styleId="Lienhypertexte">
    <w:name w:val="Hyperlink"/>
    <w:uiPriority w:val="99"/>
    <w:unhideWhenUsed/>
    <w:rsid w:val="006441B1"/>
    <w:rPr>
      <w:color w:val="0000FF"/>
      <w:u w:val="single"/>
    </w:rPr>
  </w:style>
  <w:style w:type="table" w:styleId="Grilledutableau">
    <w:name w:val="Table Grid"/>
    <w:basedOn w:val="TableauNormal"/>
    <w:uiPriority w:val="59"/>
    <w:rsid w:val="006441B1"/>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441B1"/>
    <w:pPr>
      <w:ind w:left="720"/>
      <w:contextualSpacing/>
    </w:pPr>
  </w:style>
  <w:style w:type="paragraph" w:customStyle="1" w:styleId="texte">
    <w:name w:val="texte"/>
    <w:basedOn w:val="Normal"/>
    <w:uiPriority w:val="99"/>
    <w:rsid w:val="006441B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283" w:hanging="283"/>
      <w:textAlignment w:val="center"/>
    </w:pPr>
    <w:rPr>
      <w:rFonts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6.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bs.com" TargetMode="External"/><Relationship Id="rId5" Type="http://schemas.openxmlformats.org/officeDocument/2006/relationships/image" Target="media/image1.png"/><Relationship Id="rId10" Type="http://schemas.openxmlformats.org/officeDocument/2006/relationships/hyperlink" Target="mailto:accueil@mbs.com" TargetMode="Externa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499</Words>
  <Characters>2749</Characters>
  <Application>Microsoft Office Word</Application>
  <DocSecurity>0</DocSecurity>
  <Lines>22</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2015-01-02T20:21:00Z</dcterms:created>
  <dcterms:modified xsi:type="dcterms:W3CDTF">2023-01-18T17:21:00Z</dcterms:modified>
</cp:coreProperties>
</file>