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872B" w14:textId="77777777" w:rsidR="00FA1357" w:rsidRPr="008E71EB" w:rsidRDefault="00FA1357" w:rsidP="008E71EB">
      <w:pPr>
        <w:tabs>
          <w:tab w:val="left" w:pos="426"/>
        </w:tabs>
        <w:rPr>
          <w:rFonts w:ascii="Arial" w:hAnsi="Arial" w:cs="Arial"/>
        </w:rPr>
      </w:pPr>
    </w:p>
    <w:p w14:paraId="28D3557B" w14:textId="433A7447" w:rsidR="008E71EB" w:rsidRPr="008E71EB" w:rsidRDefault="008E71EB" w:rsidP="008E71EB">
      <w:pPr>
        <w:tabs>
          <w:tab w:val="left" w:pos="426"/>
        </w:tabs>
        <w:rPr>
          <w:rFonts w:ascii="Arial" w:hAnsi="Arial" w:cs="Arial"/>
        </w:rPr>
      </w:pPr>
      <w:r w:rsidRPr="008E71EB">
        <w:rPr>
          <w:rFonts w:ascii="Arial" w:hAnsi="Arial" w:cs="Arial"/>
        </w:rPr>
        <w:t>S.I.-Tech</w:t>
      </w:r>
    </w:p>
    <w:p w14:paraId="4E831464" w14:textId="77777777" w:rsidR="008E71EB" w:rsidRPr="008E71EB" w:rsidRDefault="008E71EB" w:rsidP="008E71EB">
      <w:pPr>
        <w:tabs>
          <w:tab w:val="left" w:pos="426"/>
        </w:tabs>
        <w:rPr>
          <w:rFonts w:ascii="Arial" w:hAnsi="Arial" w:cs="Arial"/>
        </w:rPr>
      </w:pPr>
      <w:r w:rsidRPr="008E71EB">
        <w:rPr>
          <w:rFonts w:ascii="Arial" w:hAnsi="Arial" w:cs="Arial"/>
        </w:rPr>
        <w:t>34, rue Buffon – 33000 Bordeaux</w:t>
      </w:r>
    </w:p>
    <w:p w14:paraId="15B22FD3" w14:textId="77777777" w:rsidR="008E71EB" w:rsidRPr="008E71EB" w:rsidRDefault="008E71EB" w:rsidP="008E71EB">
      <w:pPr>
        <w:tabs>
          <w:tab w:val="left" w:pos="426"/>
        </w:tabs>
        <w:rPr>
          <w:rFonts w:ascii="Arial" w:hAnsi="Arial" w:cs="Arial"/>
        </w:rPr>
      </w:pPr>
      <w:r w:rsidRPr="008E71EB">
        <w:rPr>
          <w:rFonts w:ascii="Arial" w:hAnsi="Arial" w:cs="Arial"/>
        </w:rPr>
        <w:t>Spécialiste matériel informatique et réseaux</w:t>
      </w:r>
    </w:p>
    <w:p w14:paraId="6FE16FEA" w14:textId="77777777" w:rsidR="008E71EB" w:rsidRPr="008E71EB" w:rsidRDefault="008E71EB" w:rsidP="008E71EB">
      <w:pPr>
        <w:tabs>
          <w:tab w:val="left" w:pos="426"/>
        </w:tabs>
        <w:rPr>
          <w:rFonts w:ascii="Arial" w:hAnsi="Arial" w:cs="Arial"/>
        </w:rPr>
      </w:pPr>
      <w:r w:rsidRPr="008E71EB">
        <w:rPr>
          <w:rFonts w:ascii="Arial" w:hAnsi="Arial" w:cs="Arial"/>
        </w:rPr>
        <w:t>Tél. : 05 76 45 75 85 – Fax : 05 76 45 75 86</w:t>
      </w:r>
    </w:p>
    <w:p w14:paraId="368F620A" w14:textId="77777777" w:rsidR="008E71EB" w:rsidRPr="008E71EB" w:rsidRDefault="008E71EB" w:rsidP="008E71EB">
      <w:pPr>
        <w:tabs>
          <w:tab w:val="left" w:pos="426"/>
        </w:tabs>
        <w:rPr>
          <w:rFonts w:ascii="Arial" w:hAnsi="Arial" w:cs="Arial"/>
        </w:rPr>
      </w:pPr>
      <w:proofErr w:type="gramStart"/>
      <w:r w:rsidRPr="008E71EB">
        <w:rPr>
          <w:rFonts w:ascii="Arial" w:hAnsi="Arial" w:cs="Arial"/>
        </w:rPr>
        <w:t>Site :</w:t>
      </w:r>
      <w:proofErr w:type="gramEnd"/>
      <w:r w:rsidRPr="008E71EB">
        <w:rPr>
          <w:rFonts w:ascii="Arial" w:hAnsi="Arial" w:cs="Arial"/>
        </w:rPr>
        <w:t xml:space="preserve"> </w:t>
      </w:r>
      <w:hyperlink r:id="rId7" w:history="1">
        <w:r w:rsidRPr="008E71EB">
          <w:rPr>
            <w:rFonts w:ascii="Arial" w:hAnsi="Arial" w:cs="Arial"/>
          </w:rPr>
          <w:t>http://www.si-tech.com</w:t>
        </w:r>
      </w:hyperlink>
      <w:r w:rsidRPr="008E71EB">
        <w:rPr>
          <w:rFonts w:ascii="Arial" w:hAnsi="Arial" w:cs="Arial"/>
        </w:rPr>
        <w:t xml:space="preserve"> - Mel : </w:t>
      </w:r>
      <w:hyperlink r:id="rId8" w:history="1">
        <w:r w:rsidRPr="008E71EB">
          <w:rPr>
            <w:rFonts w:ascii="Arial" w:hAnsi="Arial" w:cs="Arial"/>
          </w:rPr>
          <w:t>info@si-tech.com</w:t>
        </w:r>
      </w:hyperlink>
    </w:p>
    <w:p w14:paraId="35B0E131" w14:textId="77777777" w:rsidR="008E71EB" w:rsidRPr="008E71EB" w:rsidRDefault="008E71EB" w:rsidP="008E71EB">
      <w:pPr>
        <w:tabs>
          <w:tab w:val="left" w:pos="426"/>
        </w:tabs>
        <w:rPr>
          <w:rFonts w:ascii="Arial" w:hAnsi="Arial" w:cs="Arial"/>
        </w:rPr>
      </w:pPr>
      <w:r w:rsidRPr="008E71EB">
        <w:rPr>
          <w:rFonts w:ascii="Arial" w:hAnsi="Arial" w:cs="Arial"/>
        </w:rPr>
        <w:t>Capital : 100 000 € - RC : B 433 342 334 00029</w:t>
      </w:r>
    </w:p>
    <w:p w14:paraId="49523A38" w14:textId="77777777" w:rsidR="00DA4E0D" w:rsidRPr="008E71EB" w:rsidRDefault="00DA4E0D" w:rsidP="008E71EB">
      <w:pPr>
        <w:tabs>
          <w:tab w:val="left" w:pos="426"/>
        </w:tabs>
        <w:rPr>
          <w:rFonts w:ascii="Arial" w:hAnsi="Arial" w:cs="Arial"/>
        </w:rPr>
      </w:pPr>
      <w:r w:rsidRPr="008E71EB">
        <w:rPr>
          <w:rFonts w:ascii="Arial" w:hAnsi="Arial" w:cs="Arial"/>
        </w:rPr>
        <w:t>CONDITIONS GENERALES DE VENTE</w:t>
      </w:r>
    </w:p>
    <w:p w14:paraId="4D67C08D" w14:textId="77777777" w:rsidR="00180A55" w:rsidRPr="008E71EB" w:rsidRDefault="00180A55" w:rsidP="008E71EB">
      <w:pPr>
        <w:framePr w:dropCap="drop" w:lines="2" w:wrap="around" w:vAnchor="text" w:hAnchor="text"/>
        <w:tabs>
          <w:tab w:val="left" w:pos="426"/>
        </w:tabs>
        <w:rPr>
          <w:rFonts w:ascii="Arial" w:hAnsi="Arial" w:cs="Arial"/>
        </w:rPr>
      </w:pPr>
      <w:r w:rsidRPr="008E71EB">
        <w:rPr>
          <w:rFonts w:ascii="Arial" w:hAnsi="Arial" w:cs="Arial"/>
        </w:rPr>
        <w:t>L</w:t>
      </w:r>
    </w:p>
    <w:p w14:paraId="2052CC5F" w14:textId="77777777" w:rsidR="00DA4E0D" w:rsidRPr="008E71EB" w:rsidRDefault="00DA4E0D" w:rsidP="008E71EB">
      <w:pPr>
        <w:tabs>
          <w:tab w:val="left" w:pos="426"/>
        </w:tabs>
        <w:rPr>
          <w:rFonts w:ascii="Arial" w:hAnsi="Arial" w:cs="Arial"/>
        </w:rPr>
      </w:pPr>
      <w:r w:rsidRPr="008E71EB">
        <w:rPr>
          <w:rFonts w:ascii="Arial" w:hAnsi="Arial" w:cs="Arial"/>
        </w:rPr>
        <w:t>es présentes conditions générales de vente l’emportent sur toutes autres dispositions, clauses, lettres ou documents émanant du cocontractant, même postérieurs en date.</w:t>
      </w:r>
    </w:p>
    <w:p w14:paraId="2D5DC92E" w14:textId="77777777" w:rsidR="00DA4E0D" w:rsidRPr="008E71EB" w:rsidRDefault="00DA4E0D" w:rsidP="008E71EB">
      <w:pPr>
        <w:tabs>
          <w:tab w:val="left" w:pos="426"/>
        </w:tabs>
        <w:rPr>
          <w:rFonts w:ascii="Arial" w:hAnsi="Arial" w:cs="Arial"/>
        </w:rPr>
      </w:pPr>
      <w:r w:rsidRPr="008E71EB">
        <w:rPr>
          <w:rFonts w:ascii="Arial" w:hAnsi="Arial" w:cs="Arial"/>
        </w:rPr>
        <w:t>A - Condition de paiement</w:t>
      </w:r>
    </w:p>
    <w:p w14:paraId="3244CD00" w14:textId="77777777" w:rsidR="00DA4E0D" w:rsidRPr="008E71EB" w:rsidRDefault="00DA4E0D" w:rsidP="008E71EB">
      <w:pPr>
        <w:tabs>
          <w:tab w:val="left" w:pos="426"/>
        </w:tabs>
        <w:rPr>
          <w:rFonts w:ascii="Arial" w:hAnsi="Arial" w:cs="Arial"/>
        </w:rPr>
      </w:pPr>
      <w:r w:rsidRPr="008E71EB">
        <w:rPr>
          <w:rFonts w:ascii="Arial" w:hAnsi="Arial" w:cs="Arial"/>
        </w:rPr>
        <w:t>Le paiement de</w:t>
      </w:r>
      <w:r w:rsidR="00D76FAE" w:rsidRPr="008E71EB">
        <w:rPr>
          <w:rFonts w:ascii="Arial" w:hAnsi="Arial" w:cs="Arial"/>
        </w:rPr>
        <w:t xml:space="preserve"> l</w:t>
      </w:r>
      <w:r w:rsidRPr="008E71EB">
        <w:rPr>
          <w:rFonts w:ascii="Arial" w:hAnsi="Arial" w:cs="Arial"/>
        </w:rPr>
        <w:t>a présen</w:t>
      </w:r>
      <w:r w:rsidR="00180A55" w:rsidRPr="008E71EB">
        <w:rPr>
          <w:rFonts w:ascii="Arial" w:hAnsi="Arial" w:cs="Arial"/>
        </w:rPr>
        <w:t xml:space="preserve">te facture sera </w:t>
      </w:r>
      <w:r w:rsidR="00D76FAE" w:rsidRPr="008E71EB">
        <w:rPr>
          <w:rFonts w:ascii="Arial" w:hAnsi="Arial" w:cs="Arial"/>
        </w:rPr>
        <w:t xml:space="preserve">fait </w:t>
      </w:r>
      <w:r w:rsidRPr="008E71EB">
        <w:rPr>
          <w:rFonts w:ascii="Arial" w:hAnsi="Arial" w:cs="Arial"/>
        </w:rPr>
        <w:t>net et sans escompte, au comptant, à réception de la facture.</w:t>
      </w:r>
    </w:p>
    <w:p w14:paraId="0AEDC77F" w14:textId="77777777" w:rsidR="00DA4E0D" w:rsidRPr="008E71EB" w:rsidRDefault="00DA4E0D" w:rsidP="008E71EB">
      <w:pPr>
        <w:tabs>
          <w:tab w:val="left" w:pos="426"/>
        </w:tabs>
        <w:rPr>
          <w:rFonts w:ascii="Arial" w:hAnsi="Arial" w:cs="Arial"/>
        </w:rPr>
      </w:pPr>
      <w:r w:rsidRPr="008E71EB">
        <w:rPr>
          <w:rFonts w:ascii="Arial" w:hAnsi="Arial" w:cs="Arial"/>
        </w:rPr>
        <w:t xml:space="preserve">Tout retard de paiement par rapport à la date d’échéance convenue donnera lieu à l’application de pénalités, sans qu’il soit besoin d’aucune mise en demeure préalable, calculées sur la base du taux égal à une fois et </w:t>
      </w:r>
      <w:proofErr w:type="gramStart"/>
      <w:r w:rsidRPr="008E71EB">
        <w:rPr>
          <w:rFonts w:ascii="Arial" w:hAnsi="Arial" w:cs="Arial"/>
        </w:rPr>
        <w:t>demi</w:t>
      </w:r>
      <w:proofErr w:type="gramEnd"/>
      <w:r w:rsidRPr="008E71EB">
        <w:rPr>
          <w:rFonts w:ascii="Arial" w:hAnsi="Arial" w:cs="Arial"/>
        </w:rPr>
        <w:t xml:space="preserve"> le taux d’intérêt légal, sans que cette clause fasse obstacle à toute action ayant pour objet le recouvrement de la créance. Tous les frais entraînés par cette carence seront ou resteront à la charge du débiteur défaillant.</w:t>
      </w:r>
    </w:p>
    <w:p w14:paraId="42BC4138" w14:textId="77777777" w:rsidR="00DA4E0D" w:rsidRPr="008E71EB" w:rsidRDefault="00DA4E0D" w:rsidP="008E71EB">
      <w:pPr>
        <w:tabs>
          <w:tab w:val="left" w:pos="426"/>
        </w:tabs>
        <w:rPr>
          <w:rFonts w:ascii="Arial" w:hAnsi="Arial" w:cs="Arial"/>
        </w:rPr>
      </w:pPr>
      <w:r w:rsidRPr="008E71EB">
        <w:rPr>
          <w:rFonts w:ascii="Arial" w:hAnsi="Arial" w:cs="Arial"/>
        </w:rPr>
        <w:t xml:space="preserve">Carte </w:t>
      </w:r>
      <w:r w:rsidR="00FA1357" w:rsidRPr="008E71EB">
        <w:rPr>
          <w:rFonts w:ascii="Arial" w:hAnsi="Arial" w:cs="Arial"/>
        </w:rPr>
        <w:t>S.I.-Tech</w:t>
      </w:r>
    </w:p>
    <w:p w14:paraId="79D9CB19" w14:textId="61B8E9ED" w:rsidR="00DA4E0D" w:rsidRPr="008E71EB" w:rsidRDefault="00DA4E0D" w:rsidP="008E71EB">
      <w:pPr>
        <w:tabs>
          <w:tab w:val="left" w:pos="426"/>
        </w:tabs>
        <w:rPr>
          <w:rFonts w:ascii="Arial" w:hAnsi="Arial" w:cs="Arial"/>
        </w:rPr>
      </w:pPr>
      <w:r w:rsidRPr="008E71EB">
        <w:rPr>
          <w:rFonts w:ascii="Arial" w:hAnsi="Arial" w:cs="Arial"/>
        </w:rPr>
        <w:t>Lors de vos achats</w:t>
      </w:r>
      <w:r w:rsidR="009E6707" w:rsidRPr="008E71EB">
        <w:rPr>
          <w:rFonts w:ascii="Arial" w:hAnsi="Arial" w:cs="Arial"/>
        </w:rPr>
        <w:t>,</w:t>
      </w:r>
      <w:r w:rsidRPr="008E71EB">
        <w:rPr>
          <w:rFonts w:ascii="Arial" w:hAnsi="Arial" w:cs="Arial"/>
        </w:rPr>
        <w:t xml:space="preserve"> vous avez la possibilité d’effectuer votre règlem</w:t>
      </w:r>
      <w:r w:rsidR="009E6707" w:rsidRPr="008E71EB">
        <w:rPr>
          <w:rFonts w:ascii="Arial" w:hAnsi="Arial" w:cs="Arial"/>
        </w:rPr>
        <w:t xml:space="preserve">ent à l’aide de la carte </w:t>
      </w:r>
      <w:r w:rsidR="00FA1357" w:rsidRPr="008E71EB">
        <w:rPr>
          <w:rFonts w:ascii="Arial" w:hAnsi="Arial" w:cs="Arial"/>
        </w:rPr>
        <w:t>S.I.-Tech</w:t>
      </w:r>
      <w:r w:rsidRPr="008E71EB">
        <w:rPr>
          <w:rFonts w:ascii="Arial" w:hAnsi="Arial" w:cs="Arial"/>
        </w:rPr>
        <w:t xml:space="preserve">. </w:t>
      </w:r>
    </w:p>
    <w:p w14:paraId="553ECCAE" w14:textId="77777777" w:rsidR="00DA4E0D" w:rsidRPr="008E71EB" w:rsidRDefault="00DA4E0D" w:rsidP="008E71EB">
      <w:pPr>
        <w:tabs>
          <w:tab w:val="left" w:pos="426"/>
        </w:tabs>
        <w:rPr>
          <w:rFonts w:ascii="Arial" w:hAnsi="Arial" w:cs="Arial"/>
        </w:rPr>
      </w:pPr>
      <w:r w:rsidRPr="008E71EB">
        <w:rPr>
          <w:rFonts w:ascii="Arial" w:hAnsi="Arial" w:cs="Arial"/>
        </w:rPr>
        <w:t>Vous bénéficiez d’un crédit re</w:t>
      </w:r>
      <w:r w:rsidR="00FA1357" w:rsidRPr="008E71EB">
        <w:rPr>
          <w:rFonts w:ascii="Arial" w:hAnsi="Arial" w:cs="Arial"/>
        </w:rPr>
        <w:t>-</w:t>
      </w:r>
      <w:r w:rsidRPr="008E71EB">
        <w:rPr>
          <w:rFonts w:ascii="Arial" w:hAnsi="Arial" w:cs="Arial"/>
        </w:rPr>
        <w:t>constituable d’un an renouvelable que vous pouvez aussi rembourser au comptant ou par mensualités prédéterminées suivant le barème ci-dessous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8"/>
        <w:gridCol w:w="2141"/>
        <w:gridCol w:w="1843"/>
      </w:tblGrid>
      <w:tr w:rsidR="00DA4E0D" w:rsidRPr="008E71EB" w14:paraId="245647C9" w14:textId="77777777" w:rsidTr="008E71EB">
        <w:tc>
          <w:tcPr>
            <w:tcW w:w="1828" w:type="dxa"/>
          </w:tcPr>
          <w:p w14:paraId="416185D5" w14:textId="77777777" w:rsidR="00DA4E0D" w:rsidRPr="008E71EB" w:rsidRDefault="00DA4E0D" w:rsidP="008E71EB">
            <w:pPr>
              <w:tabs>
                <w:tab w:val="left" w:pos="426"/>
              </w:tabs>
              <w:rPr>
                <w:rFonts w:ascii="Arial" w:hAnsi="Arial" w:cs="Arial"/>
              </w:rPr>
            </w:pPr>
            <w:r w:rsidRPr="008E71EB">
              <w:rPr>
                <w:rFonts w:ascii="Arial" w:hAnsi="Arial" w:cs="Arial"/>
              </w:rPr>
              <w:t>Montant du crédit</w:t>
            </w:r>
          </w:p>
        </w:tc>
        <w:tc>
          <w:tcPr>
            <w:tcW w:w="2141" w:type="dxa"/>
          </w:tcPr>
          <w:p w14:paraId="55580103" w14:textId="77777777" w:rsidR="00DA4E0D" w:rsidRPr="008E71EB" w:rsidRDefault="00DA4E0D" w:rsidP="008E71EB">
            <w:pPr>
              <w:tabs>
                <w:tab w:val="left" w:pos="426"/>
              </w:tabs>
              <w:rPr>
                <w:rFonts w:ascii="Arial" w:hAnsi="Arial" w:cs="Arial"/>
              </w:rPr>
            </w:pPr>
            <w:r w:rsidRPr="008E71EB">
              <w:rPr>
                <w:rFonts w:ascii="Arial" w:hAnsi="Arial" w:cs="Arial"/>
              </w:rPr>
              <w:t>Mensualité minimum</w:t>
            </w:r>
          </w:p>
        </w:tc>
        <w:tc>
          <w:tcPr>
            <w:tcW w:w="1843" w:type="dxa"/>
          </w:tcPr>
          <w:p w14:paraId="2C2BB89E" w14:textId="77777777" w:rsidR="00DA4E0D" w:rsidRPr="008E71EB" w:rsidRDefault="00DA4E0D" w:rsidP="008E71EB">
            <w:pPr>
              <w:tabs>
                <w:tab w:val="left" w:pos="426"/>
              </w:tabs>
              <w:rPr>
                <w:rFonts w:ascii="Arial" w:hAnsi="Arial" w:cs="Arial"/>
              </w:rPr>
            </w:pPr>
            <w:r w:rsidRPr="008E71EB">
              <w:rPr>
                <w:rFonts w:ascii="Arial" w:hAnsi="Arial" w:cs="Arial"/>
              </w:rPr>
              <w:t>TEG révisable</w:t>
            </w:r>
          </w:p>
        </w:tc>
      </w:tr>
      <w:tr w:rsidR="00DA4E0D" w:rsidRPr="008E71EB" w14:paraId="2EA24801" w14:textId="77777777" w:rsidTr="008E71EB">
        <w:tc>
          <w:tcPr>
            <w:tcW w:w="1828" w:type="dxa"/>
          </w:tcPr>
          <w:p w14:paraId="1D0CC150" w14:textId="77777777" w:rsidR="00DA4E0D" w:rsidRPr="008E71EB" w:rsidRDefault="00DA4E0D" w:rsidP="008E71EB">
            <w:pPr>
              <w:tabs>
                <w:tab w:val="left" w:pos="426"/>
              </w:tabs>
              <w:rPr>
                <w:rFonts w:ascii="Arial" w:hAnsi="Arial" w:cs="Arial"/>
              </w:rPr>
            </w:pPr>
            <w:r w:rsidRPr="008E71EB">
              <w:rPr>
                <w:rFonts w:ascii="Arial" w:hAnsi="Arial" w:cs="Arial"/>
              </w:rPr>
              <w:t>Jusqu'à 800 €</w:t>
            </w:r>
          </w:p>
        </w:tc>
        <w:tc>
          <w:tcPr>
            <w:tcW w:w="2141" w:type="dxa"/>
          </w:tcPr>
          <w:p w14:paraId="0D60E4FF" w14:textId="77777777" w:rsidR="00DA4E0D" w:rsidRPr="008E71EB" w:rsidRDefault="00DA4E0D" w:rsidP="008E71EB">
            <w:pPr>
              <w:tabs>
                <w:tab w:val="left" w:pos="426"/>
              </w:tabs>
              <w:rPr>
                <w:rFonts w:ascii="Arial" w:hAnsi="Arial" w:cs="Arial"/>
              </w:rPr>
            </w:pPr>
            <w:r w:rsidRPr="008E71EB">
              <w:rPr>
                <w:rFonts w:ascii="Arial" w:hAnsi="Arial" w:cs="Arial"/>
              </w:rPr>
              <w:t>30 €</w:t>
            </w:r>
          </w:p>
        </w:tc>
        <w:tc>
          <w:tcPr>
            <w:tcW w:w="1843" w:type="dxa"/>
          </w:tcPr>
          <w:p w14:paraId="593DB053" w14:textId="77777777" w:rsidR="00DA4E0D" w:rsidRPr="008E71EB" w:rsidRDefault="00DA4E0D" w:rsidP="008E71EB">
            <w:pPr>
              <w:tabs>
                <w:tab w:val="left" w:pos="426"/>
              </w:tabs>
              <w:rPr>
                <w:rFonts w:ascii="Arial" w:hAnsi="Arial" w:cs="Arial"/>
              </w:rPr>
            </w:pPr>
            <w:r w:rsidRPr="008E71EB">
              <w:rPr>
                <w:rFonts w:ascii="Arial" w:hAnsi="Arial" w:cs="Arial"/>
              </w:rPr>
              <w:t>18,43  %</w:t>
            </w:r>
          </w:p>
        </w:tc>
      </w:tr>
      <w:tr w:rsidR="00DA4E0D" w:rsidRPr="008E71EB" w14:paraId="5E582B24" w14:textId="77777777" w:rsidTr="008E71EB">
        <w:tc>
          <w:tcPr>
            <w:tcW w:w="1828" w:type="dxa"/>
          </w:tcPr>
          <w:p w14:paraId="22B11EC3" w14:textId="77777777" w:rsidR="00DA4E0D" w:rsidRPr="008E71EB" w:rsidRDefault="00DA4E0D" w:rsidP="008E71EB">
            <w:pPr>
              <w:tabs>
                <w:tab w:val="left" w:pos="426"/>
              </w:tabs>
              <w:rPr>
                <w:rFonts w:ascii="Arial" w:hAnsi="Arial" w:cs="Arial"/>
              </w:rPr>
            </w:pPr>
            <w:r w:rsidRPr="008E71EB">
              <w:rPr>
                <w:rFonts w:ascii="Arial" w:hAnsi="Arial" w:cs="Arial"/>
              </w:rPr>
              <w:t>de 800 à 1550 €</w:t>
            </w:r>
          </w:p>
        </w:tc>
        <w:tc>
          <w:tcPr>
            <w:tcW w:w="2141" w:type="dxa"/>
          </w:tcPr>
          <w:p w14:paraId="7FF5F4DB" w14:textId="77777777" w:rsidR="00DA4E0D" w:rsidRPr="008E71EB" w:rsidRDefault="00DA4E0D" w:rsidP="008E71EB">
            <w:pPr>
              <w:tabs>
                <w:tab w:val="left" w:pos="426"/>
              </w:tabs>
              <w:rPr>
                <w:rFonts w:ascii="Arial" w:hAnsi="Arial" w:cs="Arial"/>
              </w:rPr>
            </w:pPr>
            <w:r w:rsidRPr="008E71EB">
              <w:rPr>
                <w:rFonts w:ascii="Arial" w:hAnsi="Arial" w:cs="Arial"/>
              </w:rPr>
              <w:t>60 €</w:t>
            </w:r>
          </w:p>
        </w:tc>
        <w:tc>
          <w:tcPr>
            <w:tcW w:w="1843" w:type="dxa"/>
          </w:tcPr>
          <w:p w14:paraId="19BF637B" w14:textId="77777777" w:rsidR="00DA4E0D" w:rsidRPr="008E71EB" w:rsidRDefault="00DA4E0D" w:rsidP="008E71EB">
            <w:pPr>
              <w:tabs>
                <w:tab w:val="left" w:pos="426"/>
              </w:tabs>
              <w:rPr>
                <w:rFonts w:ascii="Arial" w:hAnsi="Arial" w:cs="Arial"/>
              </w:rPr>
            </w:pPr>
            <w:r w:rsidRPr="008E71EB">
              <w:rPr>
                <w:rFonts w:ascii="Arial" w:hAnsi="Arial" w:cs="Arial"/>
              </w:rPr>
              <w:t>18,43  %</w:t>
            </w:r>
          </w:p>
        </w:tc>
      </w:tr>
      <w:tr w:rsidR="00DA4E0D" w:rsidRPr="008E71EB" w14:paraId="60CD2099" w14:textId="77777777" w:rsidTr="008E71EB">
        <w:tc>
          <w:tcPr>
            <w:tcW w:w="1828" w:type="dxa"/>
          </w:tcPr>
          <w:p w14:paraId="777BEC86" w14:textId="77777777" w:rsidR="00DA4E0D" w:rsidRPr="008E71EB" w:rsidRDefault="00DA4E0D" w:rsidP="008E71EB">
            <w:pPr>
              <w:tabs>
                <w:tab w:val="left" w:pos="426"/>
              </w:tabs>
              <w:rPr>
                <w:rFonts w:ascii="Arial" w:hAnsi="Arial" w:cs="Arial"/>
              </w:rPr>
            </w:pPr>
            <w:r w:rsidRPr="008E71EB">
              <w:rPr>
                <w:rFonts w:ascii="Arial" w:hAnsi="Arial" w:cs="Arial"/>
              </w:rPr>
              <w:t>de 1550 à 2300 €</w:t>
            </w:r>
          </w:p>
        </w:tc>
        <w:tc>
          <w:tcPr>
            <w:tcW w:w="2141" w:type="dxa"/>
          </w:tcPr>
          <w:p w14:paraId="682DD8D3" w14:textId="77777777" w:rsidR="00DA4E0D" w:rsidRPr="008E71EB" w:rsidRDefault="00DA4E0D" w:rsidP="008E71EB">
            <w:pPr>
              <w:tabs>
                <w:tab w:val="left" w:pos="426"/>
              </w:tabs>
              <w:rPr>
                <w:rFonts w:ascii="Arial" w:hAnsi="Arial" w:cs="Arial"/>
              </w:rPr>
            </w:pPr>
            <w:r w:rsidRPr="008E71EB">
              <w:rPr>
                <w:rFonts w:ascii="Arial" w:hAnsi="Arial" w:cs="Arial"/>
              </w:rPr>
              <w:t>90 €</w:t>
            </w:r>
          </w:p>
        </w:tc>
        <w:tc>
          <w:tcPr>
            <w:tcW w:w="1843" w:type="dxa"/>
          </w:tcPr>
          <w:p w14:paraId="41E3F224" w14:textId="77777777" w:rsidR="00DA4E0D" w:rsidRPr="008E71EB" w:rsidRDefault="00DA4E0D" w:rsidP="008E71EB">
            <w:pPr>
              <w:tabs>
                <w:tab w:val="left" w:pos="426"/>
              </w:tabs>
              <w:rPr>
                <w:rFonts w:ascii="Arial" w:hAnsi="Arial" w:cs="Arial"/>
              </w:rPr>
            </w:pPr>
            <w:r w:rsidRPr="008E71EB">
              <w:rPr>
                <w:rFonts w:ascii="Arial" w:hAnsi="Arial" w:cs="Arial"/>
              </w:rPr>
              <w:t>16,51 %</w:t>
            </w:r>
          </w:p>
        </w:tc>
      </w:tr>
      <w:tr w:rsidR="00DA4E0D" w:rsidRPr="008E71EB" w14:paraId="6E6BE198" w14:textId="77777777" w:rsidTr="008E71EB">
        <w:tc>
          <w:tcPr>
            <w:tcW w:w="1828" w:type="dxa"/>
          </w:tcPr>
          <w:p w14:paraId="38687F66" w14:textId="77777777" w:rsidR="00DA4E0D" w:rsidRPr="008E71EB" w:rsidRDefault="00DA4E0D" w:rsidP="008E71EB">
            <w:pPr>
              <w:tabs>
                <w:tab w:val="left" w:pos="426"/>
              </w:tabs>
              <w:rPr>
                <w:rFonts w:ascii="Arial" w:hAnsi="Arial" w:cs="Arial"/>
              </w:rPr>
            </w:pPr>
            <w:r w:rsidRPr="008E71EB">
              <w:rPr>
                <w:rFonts w:ascii="Arial" w:hAnsi="Arial" w:cs="Arial"/>
              </w:rPr>
              <w:t>de 2300 à 3100 €</w:t>
            </w:r>
          </w:p>
        </w:tc>
        <w:tc>
          <w:tcPr>
            <w:tcW w:w="2141" w:type="dxa"/>
          </w:tcPr>
          <w:p w14:paraId="1BEC4286" w14:textId="77777777" w:rsidR="00DA4E0D" w:rsidRPr="008E71EB" w:rsidRDefault="00DA4E0D" w:rsidP="008E71EB">
            <w:pPr>
              <w:tabs>
                <w:tab w:val="left" w:pos="426"/>
              </w:tabs>
              <w:rPr>
                <w:rFonts w:ascii="Arial" w:hAnsi="Arial" w:cs="Arial"/>
              </w:rPr>
            </w:pPr>
            <w:r w:rsidRPr="008E71EB">
              <w:rPr>
                <w:rFonts w:ascii="Arial" w:hAnsi="Arial" w:cs="Arial"/>
              </w:rPr>
              <w:t>120 €</w:t>
            </w:r>
          </w:p>
        </w:tc>
        <w:tc>
          <w:tcPr>
            <w:tcW w:w="1843" w:type="dxa"/>
          </w:tcPr>
          <w:p w14:paraId="51C0D9AF" w14:textId="77777777" w:rsidR="00DA4E0D" w:rsidRPr="008E71EB" w:rsidRDefault="00DA4E0D" w:rsidP="008E71EB">
            <w:pPr>
              <w:tabs>
                <w:tab w:val="left" w:pos="426"/>
              </w:tabs>
              <w:rPr>
                <w:rFonts w:ascii="Arial" w:hAnsi="Arial" w:cs="Arial"/>
              </w:rPr>
            </w:pPr>
            <w:r w:rsidRPr="008E71EB">
              <w:rPr>
                <w:rFonts w:ascii="Arial" w:hAnsi="Arial" w:cs="Arial"/>
              </w:rPr>
              <w:t>16,51 %</w:t>
            </w:r>
          </w:p>
        </w:tc>
      </w:tr>
      <w:tr w:rsidR="00DA4E0D" w:rsidRPr="008E71EB" w14:paraId="76498EB2" w14:textId="77777777" w:rsidTr="008E71EB">
        <w:tc>
          <w:tcPr>
            <w:tcW w:w="1828" w:type="dxa"/>
          </w:tcPr>
          <w:p w14:paraId="3BBA67F3" w14:textId="77777777" w:rsidR="00DA4E0D" w:rsidRPr="008E71EB" w:rsidRDefault="00DA4E0D" w:rsidP="008E71EB">
            <w:pPr>
              <w:tabs>
                <w:tab w:val="left" w:pos="426"/>
              </w:tabs>
              <w:rPr>
                <w:rFonts w:ascii="Arial" w:hAnsi="Arial" w:cs="Arial"/>
              </w:rPr>
            </w:pPr>
            <w:r w:rsidRPr="008E71EB">
              <w:rPr>
                <w:rFonts w:ascii="Arial" w:hAnsi="Arial" w:cs="Arial"/>
              </w:rPr>
              <w:t>Plus de 3100 €</w:t>
            </w:r>
          </w:p>
        </w:tc>
        <w:tc>
          <w:tcPr>
            <w:tcW w:w="2141" w:type="dxa"/>
          </w:tcPr>
          <w:p w14:paraId="7932A61F" w14:textId="77777777" w:rsidR="00DA4E0D" w:rsidRPr="008E71EB" w:rsidRDefault="00DA4E0D" w:rsidP="008E71EB">
            <w:pPr>
              <w:tabs>
                <w:tab w:val="left" w:pos="426"/>
              </w:tabs>
              <w:rPr>
                <w:rFonts w:ascii="Arial" w:hAnsi="Arial" w:cs="Arial"/>
              </w:rPr>
            </w:pPr>
            <w:r w:rsidRPr="008E71EB">
              <w:rPr>
                <w:rFonts w:ascii="Arial" w:hAnsi="Arial" w:cs="Arial"/>
              </w:rPr>
              <w:t>5 % du solde dû</w:t>
            </w:r>
          </w:p>
        </w:tc>
        <w:tc>
          <w:tcPr>
            <w:tcW w:w="1843" w:type="dxa"/>
          </w:tcPr>
          <w:p w14:paraId="271BF317" w14:textId="77777777" w:rsidR="00DA4E0D" w:rsidRPr="008E71EB" w:rsidRDefault="00DA4E0D" w:rsidP="008E71EB">
            <w:pPr>
              <w:tabs>
                <w:tab w:val="left" w:pos="426"/>
              </w:tabs>
              <w:rPr>
                <w:rFonts w:ascii="Arial" w:hAnsi="Arial" w:cs="Arial"/>
              </w:rPr>
            </w:pPr>
            <w:r w:rsidRPr="008E71EB">
              <w:rPr>
                <w:rFonts w:ascii="Arial" w:hAnsi="Arial" w:cs="Arial"/>
              </w:rPr>
              <w:t>16,51 %</w:t>
            </w:r>
          </w:p>
        </w:tc>
      </w:tr>
    </w:tbl>
    <w:p w14:paraId="7B1237D7" w14:textId="77777777" w:rsidR="00DA4E0D" w:rsidRPr="008E71EB" w:rsidRDefault="00DA4E0D" w:rsidP="008E71EB">
      <w:pPr>
        <w:tabs>
          <w:tab w:val="left" w:pos="426"/>
        </w:tabs>
        <w:rPr>
          <w:rFonts w:ascii="Arial" w:hAnsi="Arial" w:cs="Arial"/>
        </w:rPr>
      </w:pPr>
      <w:r w:rsidRPr="008E71EB">
        <w:rPr>
          <w:rFonts w:ascii="Arial" w:hAnsi="Arial" w:cs="Arial"/>
        </w:rPr>
        <w:t>Barème de remboursement des mensualités. Taux en vigueur au 01/01/05 et révisables.</w:t>
      </w:r>
    </w:p>
    <w:p w14:paraId="4ABBD21B" w14:textId="77777777" w:rsidR="00DA4E0D" w:rsidRPr="008E71EB" w:rsidRDefault="00CE15CC" w:rsidP="008E71EB">
      <w:pPr>
        <w:tabs>
          <w:tab w:val="left" w:pos="426"/>
        </w:tabs>
        <w:rPr>
          <w:rFonts w:ascii="Arial" w:hAnsi="Arial" w:cs="Arial"/>
        </w:rPr>
      </w:pPr>
      <w:r w:rsidRPr="008E71EB">
        <w:rPr>
          <w:rFonts w:ascii="Arial" w:hAnsi="Arial" w:cs="Arial"/>
        </w:rPr>
        <w:t>B</w:t>
      </w:r>
      <w:r w:rsidR="00DA4E0D" w:rsidRPr="008E71EB">
        <w:rPr>
          <w:rFonts w:ascii="Arial" w:hAnsi="Arial" w:cs="Arial"/>
        </w:rPr>
        <w:t xml:space="preserve"> - Réserve de propriété</w:t>
      </w:r>
    </w:p>
    <w:p w14:paraId="778C67B0" w14:textId="77777777" w:rsidR="00DA4E0D" w:rsidRPr="008E71EB" w:rsidRDefault="00DA4E0D" w:rsidP="008E71EB">
      <w:pPr>
        <w:tabs>
          <w:tab w:val="left" w:pos="426"/>
        </w:tabs>
        <w:rPr>
          <w:rFonts w:ascii="Arial" w:hAnsi="Arial" w:cs="Arial"/>
        </w:rPr>
      </w:pPr>
      <w:r w:rsidRPr="008E71EB">
        <w:rPr>
          <w:rFonts w:ascii="Arial" w:hAnsi="Arial" w:cs="Arial"/>
        </w:rPr>
        <w:t xml:space="preserve">Le </w:t>
      </w:r>
      <w:proofErr w:type="spellStart"/>
      <w:r w:rsidRPr="008E71EB">
        <w:rPr>
          <w:rFonts w:ascii="Arial" w:hAnsi="Arial" w:cs="Arial"/>
        </w:rPr>
        <w:t>non paiement</w:t>
      </w:r>
      <w:proofErr w:type="spellEnd"/>
      <w:r w:rsidRPr="008E71EB">
        <w:rPr>
          <w:rFonts w:ascii="Arial" w:hAnsi="Arial" w:cs="Arial"/>
        </w:rPr>
        <w:t>, même partiel</w:t>
      </w:r>
      <w:r w:rsidR="009E6707" w:rsidRPr="008E71EB">
        <w:rPr>
          <w:rFonts w:ascii="Arial" w:hAnsi="Arial" w:cs="Arial"/>
        </w:rPr>
        <w:t>,</w:t>
      </w:r>
      <w:r w:rsidRPr="008E71EB">
        <w:rPr>
          <w:rFonts w:ascii="Arial" w:hAnsi="Arial" w:cs="Arial"/>
        </w:rPr>
        <w:t xml:space="preserve"> de la présente facture à l’échéance convenue, indiquée au recto de celle-ci, fera obstacle au transfert de propriété des biens mobiliers faisant l’objet des présentes. En conséquence, notre entreprise sera alors en droit de reprendre le ou les biens mobiliers livrés et d’exercer l’action en revendication </w:t>
      </w:r>
      <w:r w:rsidR="002B392E" w:rsidRPr="008E71EB">
        <w:rPr>
          <w:rFonts w:ascii="Arial" w:hAnsi="Arial" w:cs="Arial"/>
        </w:rPr>
        <w:t>des dits</w:t>
      </w:r>
      <w:r w:rsidRPr="008E71EB">
        <w:rPr>
          <w:rFonts w:ascii="Arial" w:hAnsi="Arial" w:cs="Arial"/>
        </w:rPr>
        <w:t xml:space="preserve"> biens, étant précisé que, par paiement, il est convenu d’entendre l’encaissement effectif du prix.</w:t>
      </w:r>
    </w:p>
    <w:p w14:paraId="304F4596" w14:textId="77777777" w:rsidR="00DA4E0D" w:rsidRPr="008E71EB" w:rsidRDefault="00DA4E0D" w:rsidP="008E71EB">
      <w:pPr>
        <w:tabs>
          <w:tab w:val="left" w:pos="426"/>
        </w:tabs>
        <w:rPr>
          <w:rFonts w:ascii="Arial" w:hAnsi="Arial" w:cs="Arial"/>
        </w:rPr>
      </w:pPr>
      <w:r w:rsidRPr="008E71EB">
        <w:rPr>
          <w:rFonts w:ascii="Arial" w:hAnsi="Arial" w:cs="Arial"/>
        </w:rPr>
        <w:t>Il est cependant convenu que le transfert des risques pèsera sur la tête du contractant dès le moment de la préhension matérielle des biens, étant ici précisé que cette préhension matérielle est réputée intervenir au lieu de l’</w:t>
      </w:r>
      <w:r w:rsidR="002B392E" w:rsidRPr="008E71EB">
        <w:rPr>
          <w:rFonts w:ascii="Arial" w:hAnsi="Arial" w:cs="Arial"/>
        </w:rPr>
        <w:t>expédition des dits biens ou au</w:t>
      </w:r>
      <w:r w:rsidRPr="008E71EB">
        <w:rPr>
          <w:rFonts w:ascii="Arial" w:hAnsi="Arial" w:cs="Arial"/>
        </w:rPr>
        <w:t xml:space="preserve"> lieu d’exécution des travaux.</w:t>
      </w:r>
    </w:p>
    <w:p w14:paraId="220E7CA7" w14:textId="77777777" w:rsidR="00DA4E0D" w:rsidRPr="008E71EB" w:rsidRDefault="00CE15CC" w:rsidP="008E71EB">
      <w:pPr>
        <w:tabs>
          <w:tab w:val="left" w:pos="426"/>
        </w:tabs>
        <w:rPr>
          <w:rFonts w:ascii="Arial" w:hAnsi="Arial" w:cs="Arial"/>
        </w:rPr>
      </w:pPr>
      <w:r w:rsidRPr="008E71EB">
        <w:rPr>
          <w:rFonts w:ascii="Arial" w:hAnsi="Arial" w:cs="Arial"/>
        </w:rPr>
        <w:t>C</w:t>
      </w:r>
      <w:r w:rsidR="00DA4E0D" w:rsidRPr="008E71EB">
        <w:rPr>
          <w:rFonts w:ascii="Arial" w:hAnsi="Arial" w:cs="Arial"/>
        </w:rPr>
        <w:t xml:space="preserve"> - Attribution de compétence</w:t>
      </w:r>
    </w:p>
    <w:p w14:paraId="053A0083" w14:textId="5F0CC118" w:rsidR="00DA4E0D" w:rsidRDefault="00DA4E0D" w:rsidP="008E71EB">
      <w:pPr>
        <w:tabs>
          <w:tab w:val="left" w:pos="426"/>
        </w:tabs>
        <w:rPr>
          <w:rFonts w:ascii="Arial" w:hAnsi="Arial" w:cs="Arial"/>
        </w:rPr>
      </w:pPr>
      <w:r w:rsidRPr="008E71EB">
        <w:rPr>
          <w:rFonts w:ascii="Arial" w:hAnsi="Arial" w:cs="Arial"/>
        </w:rPr>
        <w:t xml:space="preserve">En cas de contestations relatives à l’interprétation et/ou à l’exécution du contrat auquel se rattache cette facture, le Tribunal de </w:t>
      </w:r>
      <w:r w:rsidR="009E6707" w:rsidRPr="008E71EB">
        <w:rPr>
          <w:rFonts w:ascii="Arial" w:hAnsi="Arial" w:cs="Arial"/>
        </w:rPr>
        <w:t>C</w:t>
      </w:r>
      <w:r w:rsidRPr="008E71EB">
        <w:rPr>
          <w:rFonts w:ascii="Arial" w:hAnsi="Arial" w:cs="Arial"/>
        </w:rPr>
        <w:t>ommerce du lieu de fourniture des matériels ou du lieu d’acceptation des travaux est seul compétent, même en cas d’appel en garantie ou de pluralité de défendeurs. La présente clause n’est valable que dans la mesure o</w:t>
      </w:r>
      <w:r w:rsidR="009E6707" w:rsidRPr="008E71EB">
        <w:rPr>
          <w:rFonts w:ascii="Arial" w:hAnsi="Arial" w:cs="Arial"/>
        </w:rPr>
        <w:t>ù</w:t>
      </w:r>
      <w:r w:rsidRPr="008E71EB">
        <w:rPr>
          <w:rFonts w:ascii="Arial" w:hAnsi="Arial" w:cs="Arial"/>
        </w:rPr>
        <w:t xml:space="preserve"> le cocontractant est </w:t>
      </w:r>
      <w:proofErr w:type="spellStart"/>
      <w:r w:rsidRPr="008E71EB">
        <w:rPr>
          <w:rFonts w:ascii="Arial" w:hAnsi="Arial" w:cs="Arial"/>
        </w:rPr>
        <w:t>lui même</w:t>
      </w:r>
      <w:proofErr w:type="spellEnd"/>
      <w:r w:rsidRPr="008E71EB">
        <w:rPr>
          <w:rFonts w:ascii="Arial" w:hAnsi="Arial" w:cs="Arial"/>
        </w:rPr>
        <w:t xml:space="preserve"> commerçant.</w:t>
      </w:r>
    </w:p>
    <w:p w14:paraId="6E6531A4" w14:textId="3F65301D" w:rsidR="008E71EB" w:rsidRPr="008E71EB" w:rsidRDefault="008E71EB" w:rsidP="008E71EB">
      <w:pPr>
        <w:tabs>
          <w:tab w:val="left" w:pos="426"/>
        </w:tabs>
        <w:spacing w:before="120"/>
        <w:rPr>
          <w:rFonts w:ascii="Arial" w:hAnsi="Arial" w:cs="Arial"/>
          <w:sz w:val="18"/>
          <w:szCs w:val="18"/>
        </w:rPr>
      </w:pPr>
      <w:proofErr w:type="gramStart"/>
      <w:r w:rsidRPr="008E71EB">
        <w:rPr>
          <w:rFonts w:ascii="Arial" w:hAnsi="Arial" w:cs="Arial"/>
          <w:sz w:val="18"/>
          <w:szCs w:val="18"/>
        </w:rPr>
        <w:t>Note bas</w:t>
      </w:r>
      <w:proofErr w:type="gramEnd"/>
      <w:r w:rsidRPr="008E71EB">
        <w:rPr>
          <w:rFonts w:ascii="Arial" w:hAnsi="Arial" w:cs="Arial"/>
          <w:sz w:val="18"/>
          <w:szCs w:val="18"/>
        </w:rPr>
        <w:t xml:space="preserve"> de page : </w:t>
      </w:r>
      <w:r w:rsidRPr="008E71EB">
        <w:rPr>
          <w:rFonts w:ascii="Arial" w:hAnsi="Arial" w:cs="Arial"/>
          <w:sz w:val="18"/>
          <w:szCs w:val="18"/>
        </w:rPr>
        <w:t xml:space="preserve">Sous réserves d’acceptation de votre dossier par la société Cofinoga – SA au capital de 24 000 000 €. </w:t>
      </w:r>
      <w:proofErr w:type="spellStart"/>
      <w:r w:rsidRPr="008E71EB">
        <w:rPr>
          <w:rFonts w:ascii="Arial" w:hAnsi="Arial" w:cs="Arial"/>
          <w:sz w:val="18"/>
          <w:szCs w:val="18"/>
        </w:rPr>
        <w:t>Siren</w:t>
      </w:r>
      <w:proofErr w:type="spellEnd"/>
      <w:r w:rsidRPr="008E71EB">
        <w:rPr>
          <w:rFonts w:ascii="Arial" w:hAnsi="Arial" w:cs="Arial"/>
          <w:sz w:val="18"/>
          <w:szCs w:val="18"/>
        </w:rPr>
        <w:t xml:space="preserve"> 434 130 423 RCS Paris 58/60 avenue Kléber 74116 Paris Cedex. Et après un délai de rétractation de 7 jours. Coût annuel de l’abonnement à la carte Win-Réseaux à débit immédiat = 10 €, à débit différé = 15 € prélevés sur votre compte Carte à la date anniversaire de son ouverture.</w:t>
      </w:r>
    </w:p>
    <w:p w14:paraId="0758A2AB" w14:textId="77777777" w:rsidR="008E71EB" w:rsidRPr="008E71EB" w:rsidRDefault="008E71EB" w:rsidP="008E71EB">
      <w:pPr>
        <w:tabs>
          <w:tab w:val="left" w:pos="426"/>
        </w:tabs>
        <w:rPr>
          <w:rFonts w:ascii="Arial" w:hAnsi="Arial" w:cs="Arial"/>
        </w:rPr>
      </w:pPr>
    </w:p>
    <w:sectPr w:rsidR="008E71EB" w:rsidRPr="008E71EB" w:rsidSect="0049511C">
      <w:pgSz w:w="11906" w:h="16838" w:code="9"/>
      <w:pgMar w:top="426" w:right="868" w:bottom="851" w:left="958" w:header="357"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A5B5" w14:textId="77777777" w:rsidR="00E95371" w:rsidRDefault="00E95371">
      <w:r>
        <w:separator/>
      </w:r>
    </w:p>
  </w:endnote>
  <w:endnote w:type="continuationSeparator" w:id="0">
    <w:p w14:paraId="723CAE9A" w14:textId="77777777" w:rsidR="00E95371" w:rsidRDefault="00E9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19C8" w14:textId="77777777" w:rsidR="00E95371" w:rsidRDefault="00E95371">
      <w:r>
        <w:separator/>
      </w:r>
    </w:p>
  </w:footnote>
  <w:footnote w:type="continuationSeparator" w:id="0">
    <w:p w14:paraId="18B03E25" w14:textId="77777777" w:rsidR="00E95371" w:rsidRDefault="00E95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48CA"/>
    <w:multiLevelType w:val="hybridMultilevel"/>
    <w:tmpl w:val="492EF8C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D67878"/>
    <w:multiLevelType w:val="hybridMultilevel"/>
    <w:tmpl w:val="490CB442"/>
    <w:lvl w:ilvl="0" w:tplc="79C027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8405552">
    <w:abstractNumId w:val="0"/>
  </w:num>
  <w:num w:numId="2" w16cid:durableId="34027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0F30"/>
    <w:rsid w:val="00020760"/>
    <w:rsid w:val="000F6CAC"/>
    <w:rsid w:val="001219A6"/>
    <w:rsid w:val="00123092"/>
    <w:rsid w:val="00180A55"/>
    <w:rsid w:val="00192929"/>
    <w:rsid w:val="00224D10"/>
    <w:rsid w:val="00271885"/>
    <w:rsid w:val="002B392E"/>
    <w:rsid w:val="0035441C"/>
    <w:rsid w:val="00476C46"/>
    <w:rsid w:val="0049511C"/>
    <w:rsid w:val="004B4308"/>
    <w:rsid w:val="00676DE8"/>
    <w:rsid w:val="008B017F"/>
    <w:rsid w:val="008E71EB"/>
    <w:rsid w:val="009408B1"/>
    <w:rsid w:val="009B5993"/>
    <w:rsid w:val="009E6707"/>
    <w:rsid w:val="00B132B0"/>
    <w:rsid w:val="00B1393A"/>
    <w:rsid w:val="00C25956"/>
    <w:rsid w:val="00C30F30"/>
    <w:rsid w:val="00CA1B8E"/>
    <w:rsid w:val="00CE07B8"/>
    <w:rsid w:val="00CE15CC"/>
    <w:rsid w:val="00CF3EF9"/>
    <w:rsid w:val="00D24DA3"/>
    <w:rsid w:val="00D76FAE"/>
    <w:rsid w:val="00DA4E0D"/>
    <w:rsid w:val="00DB39A5"/>
    <w:rsid w:val="00DB5BC5"/>
    <w:rsid w:val="00DC506C"/>
    <w:rsid w:val="00DF7FBF"/>
    <w:rsid w:val="00E413E0"/>
    <w:rsid w:val="00E95371"/>
    <w:rsid w:val="00F01439"/>
    <w:rsid w:val="00FA1357"/>
    <w:rsid w:val="00FF5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98751"/>
  <w15:docId w15:val="{9A4CB7D5-4EA3-491F-A30B-2FC872D6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E0D"/>
    <w:pPr>
      <w:autoSpaceDE w:val="0"/>
      <w:autoSpaceDN w:val="0"/>
      <w:adjustRightInd w:val="0"/>
    </w:pPr>
  </w:style>
  <w:style w:type="paragraph" w:styleId="Titre2">
    <w:name w:val="heading 2"/>
    <w:basedOn w:val="Normal"/>
    <w:next w:val="Normal"/>
    <w:qFormat/>
    <w:rsid w:val="00DA4E0D"/>
    <w:pPr>
      <w:keepNext/>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0F30"/>
    <w:pPr>
      <w:tabs>
        <w:tab w:val="center" w:pos="4536"/>
        <w:tab w:val="right" w:pos="9072"/>
      </w:tabs>
    </w:pPr>
  </w:style>
  <w:style w:type="paragraph" w:styleId="Pieddepage">
    <w:name w:val="footer"/>
    <w:basedOn w:val="Normal"/>
    <w:rsid w:val="00C30F30"/>
    <w:pPr>
      <w:tabs>
        <w:tab w:val="center" w:pos="4536"/>
        <w:tab w:val="right" w:pos="9072"/>
      </w:tabs>
    </w:pPr>
  </w:style>
  <w:style w:type="character" w:styleId="Lienhypertexte">
    <w:name w:val="Hyperlink"/>
    <w:basedOn w:val="Policepardfaut"/>
    <w:rsid w:val="00C30F30"/>
    <w:rPr>
      <w:color w:val="0000FF"/>
      <w:u w:val="single"/>
    </w:rPr>
  </w:style>
  <w:style w:type="table" w:styleId="Grilledutableau">
    <w:name w:val="Table Grid"/>
    <w:basedOn w:val="TableauNormal"/>
    <w:rsid w:val="00DC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DA4E0D"/>
    <w:pPr>
      <w:jc w:val="center"/>
    </w:pPr>
    <w:rPr>
      <w:b/>
      <w:bCs/>
    </w:rPr>
  </w:style>
  <w:style w:type="paragraph" w:styleId="Corpsdetexte">
    <w:name w:val="Body Text"/>
    <w:basedOn w:val="Normal"/>
    <w:rsid w:val="00DA4E0D"/>
    <w:pPr>
      <w:jc w:val="both"/>
    </w:pPr>
  </w:style>
  <w:style w:type="paragraph" w:customStyle="1" w:styleId="OmniPage3">
    <w:name w:val="OmniPage #3"/>
    <w:basedOn w:val="Normal"/>
    <w:rsid w:val="00DA4E0D"/>
    <w:pPr>
      <w:spacing w:line="280" w:lineRule="atLeast"/>
    </w:pPr>
    <w:rPr>
      <w:rFonts w:ascii="Times New Roman Condensed" w:hAnsi="Times New Roman Condensed"/>
      <w:sz w:val="24"/>
      <w:szCs w:val="24"/>
      <w:lang w:val="en-US"/>
    </w:rPr>
  </w:style>
  <w:style w:type="paragraph" w:styleId="Notedebasdepage">
    <w:name w:val="footnote text"/>
    <w:basedOn w:val="Normal"/>
    <w:semiHidden/>
    <w:rsid w:val="00DA4E0D"/>
  </w:style>
  <w:style w:type="character" w:styleId="Appelnotedebasdep">
    <w:name w:val="footnote reference"/>
    <w:basedOn w:val="Policepardfaut"/>
    <w:semiHidden/>
    <w:rsid w:val="00DA4E0D"/>
    <w:rPr>
      <w:vertAlign w:val="superscript"/>
    </w:rPr>
  </w:style>
  <w:style w:type="paragraph" w:customStyle="1" w:styleId="texte">
    <w:name w:val="texte"/>
    <w:basedOn w:val="Normal"/>
    <w:rsid w:val="00495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spacing w:line="288" w:lineRule="auto"/>
      <w:ind w:left="283" w:hanging="283"/>
      <w:jc w:val="both"/>
      <w:textAlignment w:val="center"/>
    </w:pPr>
    <w:rPr>
      <w:rFonts w:ascii="Arial" w:hAnsi="Arial" w:cs="Arial"/>
      <w:b/>
      <w:bCs/>
      <w:color w:val="000000"/>
    </w:rPr>
  </w:style>
  <w:style w:type="character" w:styleId="Mentionnonrsolue">
    <w:name w:val="Unresolved Mention"/>
    <w:basedOn w:val="Policepardfaut"/>
    <w:uiPriority w:val="99"/>
    <w:semiHidden/>
    <w:unhideWhenUsed/>
    <w:rsid w:val="00FA1357"/>
    <w:rPr>
      <w:color w:val="605E5C"/>
      <w:shd w:val="clear" w:color="auto" w:fill="E1DFDD"/>
    </w:rPr>
  </w:style>
  <w:style w:type="paragraph" w:styleId="Paragraphedeliste">
    <w:name w:val="List Paragraph"/>
    <w:basedOn w:val="Normal"/>
    <w:uiPriority w:val="34"/>
    <w:qFormat/>
    <w:rsid w:val="008E7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tech.com" TargetMode="External"/><Relationship Id="rId3" Type="http://schemas.openxmlformats.org/officeDocument/2006/relationships/settings" Target="settings.xml"/><Relationship Id="rId7" Type="http://schemas.openxmlformats.org/officeDocument/2006/relationships/hyperlink" Target="http://www.si-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504</Words>
  <Characters>2775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CONDITIONS GENERALES DE VENTE</vt:lpstr>
    </vt:vector>
  </TitlesOfParts>
  <Company>Claude Terrier</Company>
  <LinksUpToDate>false</LinksUpToDate>
  <CharactersWithSpaces>3273</CharactersWithSpaces>
  <SharedDoc>false</SharedDoc>
  <HLinks>
    <vt:vector size="12" baseType="variant">
      <vt:variant>
        <vt:i4>5374054</vt:i4>
      </vt:variant>
      <vt:variant>
        <vt:i4>3</vt:i4>
      </vt:variant>
      <vt:variant>
        <vt:i4>0</vt:i4>
      </vt:variant>
      <vt:variant>
        <vt:i4>5</vt:i4>
      </vt:variant>
      <vt:variant>
        <vt:lpwstr>mailto:info@winreseaux.com</vt:lpwstr>
      </vt:variant>
      <vt:variant>
        <vt:lpwstr/>
      </vt:variant>
      <vt:variant>
        <vt:i4>2687023</vt:i4>
      </vt:variant>
      <vt:variant>
        <vt:i4>0</vt:i4>
      </vt:variant>
      <vt:variant>
        <vt:i4>0</vt:i4>
      </vt:variant>
      <vt:variant>
        <vt:i4>5</vt:i4>
      </vt:variant>
      <vt:variant>
        <vt:lpwstr>http://www.winreseaux.com/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GENERALES DE VENTE</dc:title>
  <dc:creator>Terrier</dc:creator>
  <cp:lastModifiedBy>Claude Terrier</cp:lastModifiedBy>
  <cp:revision>8</cp:revision>
  <dcterms:created xsi:type="dcterms:W3CDTF">2007-12-12T07:19:00Z</dcterms:created>
  <dcterms:modified xsi:type="dcterms:W3CDTF">2023-01-18T12:43:00Z</dcterms:modified>
</cp:coreProperties>
</file>