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654"/>
        <w:gridCol w:w="1130"/>
      </w:tblGrid>
      <w:tr w:rsidR="00343758" w:rsidRPr="00180796" w14:paraId="5B95DA6E" w14:textId="77777777" w:rsidTr="00D30765">
        <w:trPr>
          <w:trHeight w:val="386"/>
        </w:trPr>
        <w:tc>
          <w:tcPr>
            <w:tcW w:w="10197" w:type="dxa"/>
            <w:gridSpan w:val="3"/>
            <w:shd w:val="clear" w:color="auto" w:fill="FFFF00"/>
          </w:tcPr>
          <w:p w14:paraId="15C5AD4B" w14:textId="77777777" w:rsidR="00343758" w:rsidRPr="00180796" w:rsidRDefault="00343758" w:rsidP="00D30765">
            <w:pPr>
              <w:pStyle w:val="Titre2"/>
              <w:spacing w:before="120"/>
              <w:jc w:val="center"/>
              <w:rPr>
                <w:szCs w:val="22"/>
              </w:rPr>
            </w:pPr>
            <w:bookmarkStart w:id="0" w:name="_Hlk124525319"/>
            <w:r w:rsidRPr="00180796">
              <w:rPr>
                <w:szCs w:val="22"/>
              </w:rPr>
              <w:t>Réflexion</w:t>
            </w:r>
            <w:r>
              <w:rPr>
                <w:szCs w:val="22"/>
              </w:rPr>
              <w:t xml:space="preserve"> 2</w:t>
            </w:r>
            <w:r w:rsidRPr="00180796">
              <w:rPr>
                <w:szCs w:val="22"/>
              </w:rPr>
              <w:t xml:space="preserve"> - Identifier </w:t>
            </w:r>
            <w:r>
              <w:rPr>
                <w:szCs w:val="22"/>
              </w:rPr>
              <w:t>des clauses déséquilibrées</w:t>
            </w:r>
          </w:p>
        </w:tc>
      </w:tr>
      <w:tr w:rsidR="00343758" w:rsidRPr="00173A63" w14:paraId="5B830905" w14:textId="77777777" w:rsidTr="00D30765">
        <w:trPr>
          <w:trHeight w:val="267"/>
        </w:trPr>
        <w:tc>
          <w:tcPr>
            <w:tcW w:w="1413" w:type="dxa"/>
            <w:shd w:val="clear" w:color="auto" w:fill="FFFF00"/>
            <w:vAlign w:val="center"/>
          </w:tcPr>
          <w:p w14:paraId="1EE9930B" w14:textId="77777777" w:rsidR="00343758" w:rsidRPr="00FF0A24" w:rsidRDefault="00343758" w:rsidP="00D30765">
            <w:r w:rsidRPr="00FF0A24">
              <w:rPr>
                <w:b/>
              </w:rPr>
              <w:t>Durée</w:t>
            </w:r>
            <w:r>
              <w:t xml:space="preserve"> : 20’</w:t>
            </w:r>
          </w:p>
        </w:tc>
        <w:tc>
          <w:tcPr>
            <w:tcW w:w="7654" w:type="dxa"/>
            <w:shd w:val="clear" w:color="auto" w:fill="FFFF00"/>
            <w:vAlign w:val="center"/>
          </w:tcPr>
          <w:p w14:paraId="01BAC1C0" w14:textId="77777777" w:rsidR="00343758" w:rsidRPr="00FF0A24" w:rsidRDefault="00343758" w:rsidP="00D30765">
            <w:pPr>
              <w:jc w:val="center"/>
            </w:pPr>
            <w:r>
              <w:rPr>
                <w:noProof/>
              </w:rPr>
              <w:drawing>
                <wp:inline distT="0" distB="0" distL="0" distR="0" wp14:anchorId="416757AB" wp14:editId="349B205A">
                  <wp:extent cx="288000" cy="288000"/>
                  <wp:effectExtent l="0" t="0" r="0" b="0"/>
                  <wp:docPr id="43" name="Graphique 4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noProof/>
              </w:rPr>
              <w:t>ou</w:t>
            </w:r>
            <w:r>
              <w:rPr>
                <w:noProof/>
              </w:rPr>
              <w:drawing>
                <wp:inline distT="0" distB="0" distL="0" distR="0" wp14:anchorId="3E34EDC5" wp14:editId="0F926693">
                  <wp:extent cx="324000" cy="324000"/>
                  <wp:effectExtent l="0" t="0" r="0" b="0"/>
                  <wp:docPr id="44" name="Graphique 44"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29" descr="Homme et fe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1130" w:type="dxa"/>
            <w:shd w:val="clear" w:color="auto" w:fill="FFFF00"/>
            <w:vAlign w:val="center"/>
          </w:tcPr>
          <w:p w14:paraId="74A7916D" w14:textId="77777777" w:rsidR="00343758" w:rsidRPr="00744374" w:rsidRDefault="00343758" w:rsidP="00D30765">
            <w:pPr>
              <w:jc w:val="center"/>
              <w:rPr>
                <w:i/>
              </w:rPr>
            </w:pPr>
            <w:r w:rsidRPr="00744374">
              <w:t>Source</w:t>
            </w:r>
          </w:p>
        </w:tc>
      </w:tr>
    </w:tbl>
    <w:p w14:paraId="4CFDF07D" w14:textId="77777777" w:rsidR="00343758" w:rsidRDefault="00343758" w:rsidP="00343758">
      <w:pPr>
        <w:pStyle w:val="tacheseurasment"/>
        <w:rPr>
          <w:rFonts w:cs="Arial"/>
          <w:color w:val="000000"/>
          <w:szCs w:val="20"/>
        </w:rPr>
      </w:pPr>
    </w:p>
    <w:p w14:paraId="44FFC5EC" w14:textId="77777777" w:rsidR="00343758" w:rsidRDefault="00343758" w:rsidP="00343758">
      <w:pPr>
        <w:pStyle w:val="tacheseurasment"/>
        <w:rPr>
          <w:rFonts w:cs="Arial"/>
          <w:b/>
          <w:color w:val="000000"/>
          <w:sz w:val="24"/>
          <w:szCs w:val="20"/>
        </w:rPr>
      </w:pPr>
      <w:r w:rsidRPr="00ED2B71">
        <w:rPr>
          <w:rFonts w:cs="Arial"/>
          <w:b/>
          <w:color w:val="000000"/>
          <w:sz w:val="24"/>
          <w:szCs w:val="20"/>
        </w:rPr>
        <w:t>Travail à faire</w:t>
      </w:r>
    </w:p>
    <w:p w14:paraId="2358D8C3" w14:textId="77777777" w:rsidR="00343758" w:rsidRPr="00744374" w:rsidRDefault="00343758" w:rsidP="00343758">
      <w:pPr>
        <w:spacing w:before="120" w:after="120"/>
        <w:rPr>
          <w:rFonts w:cs="Arial"/>
          <w:szCs w:val="20"/>
        </w:rPr>
      </w:pPr>
      <w:r>
        <w:rPr>
          <w:rFonts w:cs="Arial"/>
          <w:szCs w:val="20"/>
        </w:rPr>
        <w:t xml:space="preserve">Après avoir lu le document, </w:t>
      </w:r>
      <w:r w:rsidRPr="00744374">
        <w:rPr>
          <w:rFonts w:cs="Arial"/>
          <w:szCs w:val="20"/>
        </w:rPr>
        <w:t>répondez aux questions suivantes.</w:t>
      </w:r>
    </w:p>
    <w:p w14:paraId="22806524" w14:textId="77777777" w:rsidR="00343758" w:rsidRDefault="00343758" w:rsidP="00343758">
      <w:pPr>
        <w:pStyle w:val="tacheseurasment"/>
        <w:numPr>
          <w:ilvl w:val="0"/>
          <w:numId w:val="8"/>
        </w:numPr>
        <w:rPr>
          <w:rFonts w:cs="Arial"/>
          <w:bCs/>
          <w:color w:val="000000"/>
          <w:szCs w:val="20"/>
        </w:rPr>
      </w:pPr>
      <w:r>
        <w:rPr>
          <w:rFonts w:cs="Arial"/>
          <w:bCs/>
          <w:color w:val="000000"/>
          <w:szCs w:val="20"/>
        </w:rPr>
        <w:t>Depuis quand les clauses déséquilibrées sont interdites en droit commercial ?</w:t>
      </w:r>
    </w:p>
    <w:p w14:paraId="32B4E7AD" w14:textId="77777777" w:rsidR="00343758" w:rsidRDefault="00343758" w:rsidP="00343758">
      <w:pPr>
        <w:pStyle w:val="tacheseurasment"/>
        <w:numPr>
          <w:ilvl w:val="0"/>
          <w:numId w:val="8"/>
        </w:numPr>
        <w:rPr>
          <w:rFonts w:cs="Arial"/>
          <w:bCs/>
          <w:color w:val="000000"/>
          <w:szCs w:val="20"/>
        </w:rPr>
      </w:pPr>
      <w:r>
        <w:rPr>
          <w:rFonts w:cs="Arial"/>
          <w:bCs/>
          <w:color w:val="000000"/>
          <w:szCs w:val="20"/>
        </w:rPr>
        <w:t>Quelle est la première condition requise qu’une clause soit déséquilibrée ?</w:t>
      </w:r>
    </w:p>
    <w:p w14:paraId="6128AA44" w14:textId="77777777" w:rsidR="00343758" w:rsidRDefault="00343758" w:rsidP="00343758">
      <w:pPr>
        <w:pStyle w:val="tacheseurasment"/>
        <w:numPr>
          <w:ilvl w:val="0"/>
          <w:numId w:val="8"/>
        </w:numPr>
        <w:rPr>
          <w:rFonts w:cs="Arial"/>
          <w:bCs/>
          <w:color w:val="000000"/>
          <w:szCs w:val="20"/>
        </w:rPr>
      </w:pPr>
      <w:r>
        <w:rPr>
          <w:rFonts w:cs="Arial"/>
          <w:bCs/>
          <w:color w:val="000000"/>
          <w:szCs w:val="20"/>
        </w:rPr>
        <w:t>Quelle est la deuxième condition requise qu’une clause soit déséquilibrée</w:t>
      </w:r>
      <w:r w:rsidRPr="00180796">
        <w:rPr>
          <w:rFonts w:cs="Arial"/>
          <w:bCs/>
          <w:color w:val="000000"/>
          <w:szCs w:val="20"/>
        </w:rPr>
        <w:t> ?</w:t>
      </w:r>
    </w:p>
    <w:p w14:paraId="7018EB69" w14:textId="77777777" w:rsidR="00343758" w:rsidRPr="00E51068" w:rsidRDefault="00343758" w:rsidP="00343758">
      <w:pPr>
        <w:pStyle w:val="tacheseurasment"/>
        <w:numPr>
          <w:ilvl w:val="0"/>
          <w:numId w:val="8"/>
        </w:numPr>
        <w:rPr>
          <w:rFonts w:cs="Arial"/>
          <w:bCs/>
          <w:color w:val="000000"/>
          <w:szCs w:val="20"/>
        </w:rPr>
      </w:pPr>
      <w:r w:rsidRPr="00E51068">
        <w:rPr>
          <w:rFonts w:cs="Arial"/>
          <w:color w:val="000000"/>
          <w:szCs w:val="20"/>
        </w:rPr>
        <w:t>En quoi l’exemple (d)  est-il déséquilibré ?</w:t>
      </w:r>
    </w:p>
    <w:p w14:paraId="070C0CE4" w14:textId="77777777" w:rsidR="00343758" w:rsidRDefault="00343758" w:rsidP="00343758">
      <w:pPr>
        <w:pStyle w:val="tacheseurasment"/>
        <w:ind w:left="360"/>
        <w:rPr>
          <w:rFonts w:cs="Arial"/>
          <w:color w:val="000000"/>
          <w:szCs w:val="20"/>
        </w:rPr>
      </w:pPr>
    </w:p>
    <w:p w14:paraId="7457301C" w14:textId="77777777" w:rsidR="00343758" w:rsidRPr="00E51068" w:rsidRDefault="00343758" w:rsidP="00343758">
      <w:pPr>
        <w:pStyle w:val="tacheseurasment"/>
        <w:ind w:left="360"/>
        <w:rPr>
          <w:rFonts w:cs="Arial"/>
          <w:bCs/>
          <w:color w:val="000000"/>
          <w:szCs w:val="20"/>
        </w:rPr>
      </w:pPr>
    </w:p>
    <w:p w14:paraId="4FDDA598" w14:textId="77777777" w:rsidR="00343758" w:rsidRPr="00B32D63" w:rsidRDefault="00343758" w:rsidP="00343758">
      <w:pPr>
        <w:spacing w:before="120"/>
        <w:rPr>
          <w:rStyle w:val="lev"/>
          <w:sz w:val="24"/>
        </w:rPr>
      </w:pPr>
      <w:r w:rsidRPr="00180796">
        <w:rPr>
          <w:rStyle w:val="lev"/>
          <w:rFonts w:cs="Arial"/>
          <w:color w:val="FFFFFF" w:themeColor="background1"/>
          <w:sz w:val="24"/>
          <w:highlight w:val="red"/>
        </w:rPr>
        <w:t>Doc. 1 </w:t>
      </w:r>
      <w:r w:rsidRPr="00180796">
        <w:rPr>
          <w:rStyle w:val="lev"/>
          <w:rFonts w:cs="Arial"/>
          <w:color w:val="FFFFFF" w:themeColor="background1"/>
          <w:sz w:val="24"/>
        </w:rPr>
        <w:t xml:space="preserve"> </w:t>
      </w:r>
      <w:r w:rsidRPr="00B32D63">
        <w:rPr>
          <w:rStyle w:val="lev"/>
          <w:sz w:val="24"/>
        </w:rPr>
        <w:t>Contrats commerciaux : attention aux clauses déséquilibrées</w:t>
      </w:r>
    </w:p>
    <w:p w14:paraId="0526A924" w14:textId="77777777" w:rsidR="00343758" w:rsidRPr="00B32D63" w:rsidRDefault="00343758" w:rsidP="00343758">
      <w:pPr>
        <w:spacing w:before="120"/>
        <w:textAlignment w:val="baseline"/>
        <w:rPr>
          <w:rFonts w:cs="Arial"/>
          <w:color w:val="000000" w:themeColor="text1"/>
          <w:sz w:val="18"/>
          <w:szCs w:val="18"/>
        </w:rPr>
      </w:pPr>
      <w:r w:rsidRPr="00B32D63">
        <w:rPr>
          <w:rFonts w:cs="Arial"/>
          <w:color w:val="000000" w:themeColor="text1"/>
          <w:sz w:val="18"/>
          <w:szCs w:val="18"/>
        </w:rPr>
        <w:t xml:space="preserve">Source : </w:t>
      </w:r>
      <w:r w:rsidRPr="00E51068">
        <w:rPr>
          <w:rFonts w:cs="Arial"/>
          <w:sz w:val="18"/>
          <w:szCs w:val="18"/>
        </w:rPr>
        <w:t>https://www.beaboss.fr/</w:t>
      </w:r>
      <w:r w:rsidRPr="00B32D63">
        <w:rPr>
          <w:rFonts w:cs="Arial"/>
          <w:color w:val="000000" w:themeColor="text1"/>
          <w:sz w:val="18"/>
          <w:szCs w:val="18"/>
        </w:rPr>
        <w:t xml:space="preserve">  | </w:t>
      </w:r>
      <w:r w:rsidRPr="00B32D63">
        <w:rPr>
          <w:rFonts w:cs="Arial"/>
          <w:color w:val="000000" w:themeColor="text1"/>
          <w:sz w:val="18"/>
          <w:szCs w:val="18"/>
          <w:bdr w:val="none" w:sz="0" w:space="0" w:color="auto" w:frame="1"/>
        </w:rPr>
        <w:t xml:space="preserve">Xavier Henry &amp; André </w:t>
      </w:r>
      <w:proofErr w:type="spellStart"/>
      <w:r w:rsidRPr="00B32D63">
        <w:rPr>
          <w:rFonts w:cs="Arial"/>
          <w:color w:val="000000" w:themeColor="text1"/>
          <w:sz w:val="18"/>
          <w:szCs w:val="18"/>
          <w:bdr w:val="none" w:sz="0" w:space="0" w:color="auto" w:frame="1"/>
        </w:rPr>
        <w:t>Bricogne</w:t>
      </w:r>
      <w:proofErr w:type="spellEnd"/>
      <w:r w:rsidRPr="00B32D63">
        <w:rPr>
          <w:rFonts w:cs="Arial"/>
          <w:color w:val="000000" w:themeColor="text1"/>
          <w:sz w:val="18"/>
          <w:szCs w:val="18"/>
          <w:bdr w:val="none" w:sz="0" w:space="0" w:color="auto" w:frame="1"/>
        </w:rPr>
        <w:t xml:space="preserve">, avocats, cabinet Henry &amp; </w:t>
      </w:r>
      <w:proofErr w:type="spellStart"/>
      <w:r w:rsidRPr="00B32D63">
        <w:rPr>
          <w:rFonts w:cs="Arial"/>
          <w:color w:val="000000" w:themeColor="text1"/>
          <w:sz w:val="18"/>
          <w:szCs w:val="18"/>
          <w:bdr w:val="none" w:sz="0" w:space="0" w:color="auto" w:frame="1"/>
        </w:rPr>
        <w:t>Bricogne</w:t>
      </w:r>
      <w:proofErr w:type="spellEnd"/>
      <w:r w:rsidRPr="00B32D63">
        <w:rPr>
          <w:rFonts w:cs="Arial"/>
          <w:color w:val="000000" w:themeColor="text1"/>
          <w:sz w:val="18"/>
          <w:szCs w:val="18"/>
        </w:rPr>
        <w:t> le 25 juil. 2019 </w:t>
      </w:r>
    </w:p>
    <w:p w14:paraId="3733734A" w14:textId="77777777" w:rsidR="00343758" w:rsidRPr="00B32D63" w:rsidRDefault="00343758" w:rsidP="00343758">
      <w:pPr>
        <w:textAlignment w:val="baseline"/>
        <w:rPr>
          <w:rFonts w:cs="Arial"/>
          <w:i/>
          <w:iCs/>
          <w:color w:val="FFFFFF"/>
          <w:sz w:val="14"/>
          <w:szCs w:val="14"/>
        </w:rPr>
      </w:pPr>
      <w:r w:rsidRPr="00B32D63">
        <w:rPr>
          <w:rFonts w:cs="Arial"/>
          <w:i/>
          <w:iCs/>
          <w:color w:val="FFFFFF"/>
          <w:sz w:val="14"/>
          <w:szCs w:val="14"/>
        </w:rPr>
        <w:t xml:space="preserve"> smolaw11 - stock.adobe.com</w:t>
      </w:r>
    </w:p>
    <w:p w14:paraId="4BDAB3FA" w14:textId="77777777" w:rsidR="00343758" w:rsidRPr="00B32D63" w:rsidRDefault="00343758" w:rsidP="00343758">
      <w:pPr>
        <w:pStyle w:val="chapeau"/>
        <w:spacing w:before="0" w:beforeAutospacing="0" w:after="0" w:afterAutospacing="0"/>
        <w:textAlignment w:val="baseline"/>
        <w:rPr>
          <w:rFonts w:ascii="Arial" w:hAnsi="Arial" w:cs="Arial"/>
          <w:b/>
          <w:bCs/>
          <w:color w:val="222222"/>
          <w:sz w:val="22"/>
          <w:szCs w:val="22"/>
        </w:rPr>
      </w:pPr>
      <w:r w:rsidRPr="00B32D63">
        <w:rPr>
          <w:rFonts w:ascii="Arial" w:hAnsi="Arial" w:cs="Arial"/>
          <w:b/>
          <w:bCs/>
          <w:color w:val="222222"/>
          <w:sz w:val="22"/>
          <w:szCs w:val="22"/>
        </w:rPr>
        <w:t>Depuis 2008, les clauses " significativement déséquilibrées " dans les contrats commerciaux sont interdites lorsqu'elles sont imposées par la partie forte au contrat. Retour sur cette interdiction, parfois méconnue, qui a été réformée le 24 avril 2019.</w:t>
      </w:r>
    </w:p>
    <w:p w14:paraId="20374C59" w14:textId="77777777" w:rsidR="00343758" w:rsidRPr="00B32D63" w:rsidRDefault="00343758" w:rsidP="00343758">
      <w:pPr>
        <w:pStyle w:val="NormalWeb"/>
        <w:spacing w:before="120" w:beforeAutospacing="0" w:after="0" w:afterAutospacing="0"/>
        <w:jc w:val="both"/>
        <w:textAlignment w:val="baseline"/>
        <w:rPr>
          <w:rFonts w:ascii="Arial" w:hAnsi="Arial" w:cs="Arial"/>
          <w:color w:val="222222"/>
          <w:sz w:val="20"/>
          <w:szCs w:val="20"/>
        </w:rPr>
      </w:pPr>
      <w:r w:rsidRPr="00B32D63">
        <w:rPr>
          <w:rFonts w:ascii="Arial" w:hAnsi="Arial" w:cs="Arial"/>
          <w:color w:val="222222"/>
          <w:sz w:val="20"/>
          <w:szCs w:val="20"/>
        </w:rPr>
        <w:t>En 2008, lorsque la loi a interdit les clauses déséquilibrées dans les contrats entre commerçants, il s'agissait d'une innovation car la sanction de telles clauses, qui s'apparentent à des clauses abusives, n'existait pas dans les relations entre commerçants. L'interdiction des clauses abusives était en effet limitée aux relations entre professionnels et consommateurs. Examen des conditions légales de l'interdiction et des sanctions qui peuvent être lourdes et qui ont été clarifiées par une ordonnance du 24 avril 2019.</w:t>
      </w:r>
    </w:p>
    <w:p w14:paraId="0478B399" w14:textId="77777777" w:rsidR="00343758" w:rsidRPr="00343758" w:rsidRDefault="00343758" w:rsidP="00343758">
      <w:pPr>
        <w:pStyle w:val="Titre2"/>
        <w:spacing w:before="240" w:after="0"/>
        <w:textAlignment w:val="baseline"/>
        <w:rPr>
          <w:color w:val="222222"/>
          <w:sz w:val="24"/>
          <w:szCs w:val="22"/>
        </w:rPr>
      </w:pPr>
      <w:r w:rsidRPr="00343758">
        <w:rPr>
          <w:color w:val="222222"/>
          <w:sz w:val="24"/>
          <w:szCs w:val="22"/>
          <w:bdr w:val="none" w:sz="0" w:space="0" w:color="auto" w:frame="1"/>
        </w:rPr>
        <w:t>Deux conditions à l'interdiction : la soumission et le </w:t>
      </w:r>
      <w:r w:rsidRPr="00343758">
        <w:rPr>
          <w:sz w:val="24"/>
          <w:szCs w:val="22"/>
          <w:bdr w:val="none" w:sz="0" w:space="0" w:color="auto" w:frame="1"/>
        </w:rPr>
        <w:t>déséquilibre</w:t>
      </w:r>
      <w:r w:rsidRPr="00343758">
        <w:rPr>
          <w:color w:val="222222"/>
          <w:sz w:val="24"/>
          <w:szCs w:val="22"/>
          <w:bdr w:val="none" w:sz="0" w:space="0" w:color="auto" w:frame="1"/>
        </w:rPr>
        <w:t> significatif</w:t>
      </w:r>
    </w:p>
    <w:p w14:paraId="258EB014" w14:textId="77777777" w:rsidR="00343758" w:rsidRPr="00B32D63" w:rsidRDefault="00343758" w:rsidP="00343758">
      <w:pPr>
        <w:pStyle w:val="NormalWeb"/>
        <w:spacing w:before="120" w:beforeAutospacing="0" w:after="0" w:afterAutospacing="0"/>
        <w:jc w:val="both"/>
        <w:textAlignment w:val="baseline"/>
        <w:rPr>
          <w:rFonts w:ascii="Arial" w:hAnsi="Arial" w:cs="Arial"/>
          <w:color w:val="222222"/>
          <w:sz w:val="20"/>
          <w:szCs w:val="20"/>
        </w:rPr>
      </w:pPr>
      <w:r w:rsidRPr="00B32D63">
        <w:rPr>
          <w:rFonts w:ascii="Arial" w:hAnsi="Arial" w:cs="Arial"/>
          <w:color w:val="222222"/>
          <w:sz w:val="20"/>
          <w:szCs w:val="20"/>
        </w:rPr>
        <w:t>L'article L. 442-1, I, 2° du code de commerce interdit à un producteur, distributeur ou prestataire de services de </w:t>
      </w:r>
      <w:r w:rsidRPr="00B32D63">
        <w:rPr>
          <w:rFonts w:ascii="Arial" w:hAnsi="Arial" w:cs="Arial"/>
          <w:b/>
          <w:bCs/>
          <w:color w:val="222222"/>
          <w:sz w:val="20"/>
          <w:szCs w:val="20"/>
          <w:bdr w:val="none" w:sz="0" w:space="0" w:color="auto" w:frame="1"/>
        </w:rPr>
        <w:t>soumettre</w:t>
      </w:r>
      <w:r w:rsidRPr="00B32D63">
        <w:rPr>
          <w:rFonts w:ascii="Arial" w:hAnsi="Arial" w:cs="Arial"/>
          <w:color w:val="222222"/>
          <w:sz w:val="20"/>
          <w:szCs w:val="20"/>
        </w:rPr>
        <w:t> </w:t>
      </w:r>
      <w:r w:rsidRPr="00B32D63">
        <w:rPr>
          <w:rFonts w:ascii="Arial" w:hAnsi="Arial" w:cs="Arial"/>
          <w:b/>
          <w:bCs/>
          <w:color w:val="222222"/>
          <w:sz w:val="20"/>
          <w:szCs w:val="20"/>
          <w:bdr w:val="none" w:sz="0" w:space="0" w:color="auto" w:frame="1"/>
        </w:rPr>
        <w:t>un partenaire contractuel à des obligations créant un déséquilibre significatif dans les droits et obligations des parties</w:t>
      </w:r>
      <w:r w:rsidRPr="00B32D63">
        <w:rPr>
          <w:rFonts w:ascii="Arial" w:hAnsi="Arial" w:cs="Arial"/>
          <w:color w:val="222222"/>
          <w:sz w:val="20"/>
          <w:szCs w:val="20"/>
        </w:rPr>
        <w:t>. Pour qu'une clause ou un contrat soit illicite, il faut donc d'abord qu'une des parties ait été contrainte de s'y soumettre</w:t>
      </w:r>
    </w:p>
    <w:p w14:paraId="6E05AB48" w14:textId="77777777" w:rsidR="00343758" w:rsidRPr="00B32D63" w:rsidRDefault="00343758" w:rsidP="00343758">
      <w:pPr>
        <w:pStyle w:val="NormalWeb"/>
        <w:spacing w:before="120" w:beforeAutospacing="0" w:after="0" w:afterAutospacing="0"/>
        <w:jc w:val="both"/>
        <w:textAlignment w:val="baseline"/>
        <w:rPr>
          <w:rFonts w:ascii="Arial" w:hAnsi="Arial" w:cs="Arial"/>
          <w:color w:val="222222"/>
          <w:sz w:val="20"/>
          <w:szCs w:val="20"/>
        </w:rPr>
      </w:pPr>
      <w:r w:rsidRPr="00B32D63">
        <w:rPr>
          <w:rFonts w:ascii="Arial" w:hAnsi="Arial" w:cs="Arial"/>
          <w:color w:val="222222"/>
          <w:sz w:val="20"/>
          <w:szCs w:val="20"/>
        </w:rPr>
        <w:t>Pour se plaindre d'une clause déséquilibrée, </w:t>
      </w:r>
      <w:r w:rsidRPr="00B32D63">
        <w:rPr>
          <w:rFonts w:ascii="Arial" w:hAnsi="Arial" w:cs="Arial"/>
          <w:b/>
          <w:bCs/>
          <w:color w:val="222222"/>
          <w:sz w:val="20"/>
          <w:szCs w:val="20"/>
          <w:bdr w:val="none" w:sz="0" w:space="0" w:color="auto" w:frame="1"/>
        </w:rPr>
        <w:t>la partie au contrat la plus faible </w:t>
      </w:r>
      <w:r w:rsidRPr="00E51068">
        <w:rPr>
          <w:rFonts w:ascii="Arial" w:hAnsi="Arial" w:cs="Arial"/>
          <w:b/>
          <w:bCs/>
          <w:sz w:val="20"/>
          <w:szCs w:val="20"/>
          <w:bdr w:val="none" w:sz="0" w:space="0" w:color="auto" w:frame="1"/>
        </w:rPr>
        <w:t>doit</w:t>
      </w:r>
      <w:r w:rsidRPr="00B32D63">
        <w:rPr>
          <w:rFonts w:ascii="Arial" w:hAnsi="Arial" w:cs="Arial"/>
          <w:b/>
          <w:bCs/>
          <w:color w:val="222222"/>
          <w:sz w:val="20"/>
          <w:szCs w:val="20"/>
          <w:bdr w:val="none" w:sz="0" w:space="0" w:color="auto" w:frame="1"/>
        </w:rPr>
        <w:t> démontrer l'existence d'un rapport de force inégal entre les parties</w:t>
      </w:r>
      <w:r w:rsidRPr="00B32D63">
        <w:rPr>
          <w:rFonts w:ascii="Arial" w:hAnsi="Arial" w:cs="Arial"/>
          <w:color w:val="222222"/>
          <w:sz w:val="20"/>
          <w:szCs w:val="20"/>
        </w:rPr>
        <w:t>. Par exemple, une partie se trouve en position de faiblesse lorsqu'elle ne peut pas prendre le risque de ne pas conclure le contrat proposé. Cependant, la jurisprudence juge parfois qu'il ne peut pas y avoir soumission si la partie faible a accepté sans discussion la clause ou le contrat déséquilibré même en cas de rapport de force inégal. Une négociation doit avoir été demandée et avoir été refusée.</w:t>
      </w:r>
    </w:p>
    <w:p w14:paraId="6A88D5F3" w14:textId="77777777" w:rsidR="00343758" w:rsidRPr="00B32D63" w:rsidRDefault="00343758" w:rsidP="00343758">
      <w:pPr>
        <w:pStyle w:val="NormalWeb"/>
        <w:spacing w:before="120" w:beforeAutospacing="0" w:after="0" w:afterAutospacing="0"/>
        <w:jc w:val="both"/>
        <w:textAlignment w:val="baseline"/>
        <w:rPr>
          <w:rFonts w:ascii="Arial" w:hAnsi="Arial" w:cs="Arial"/>
          <w:color w:val="222222"/>
          <w:sz w:val="20"/>
          <w:szCs w:val="20"/>
        </w:rPr>
      </w:pPr>
      <w:r w:rsidRPr="00B32D63">
        <w:rPr>
          <w:rFonts w:ascii="Arial" w:hAnsi="Arial" w:cs="Arial"/>
          <w:color w:val="222222"/>
          <w:sz w:val="20"/>
          <w:szCs w:val="20"/>
        </w:rPr>
        <w:t>Ensuite, il faut que la ou les clauses soient </w:t>
      </w:r>
      <w:r w:rsidRPr="00B32D63">
        <w:rPr>
          <w:rFonts w:ascii="Arial" w:hAnsi="Arial" w:cs="Arial"/>
          <w:b/>
          <w:bCs/>
          <w:color w:val="222222"/>
          <w:sz w:val="20"/>
          <w:szCs w:val="20"/>
          <w:bdr w:val="none" w:sz="0" w:space="0" w:color="auto" w:frame="1"/>
        </w:rPr>
        <w:t>significativement déséquilibrées. </w:t>
      </w:r>
      <w:r w:rsidRPr="00B32D63">
        <w:rPr>
          <w:rFonts w:ascii="Arial" w:hAnsi="Arial" w:cs="Arial"/>
          <w:color w:val="222222"/>
          <w:sz w:val="20"/>
          <w:szCs w:val="20"/>
        </w:rPr>
        <w:t xml:space="preserve">Une clause </w:t>
      </w:r>
      <w:r>
        <w:rPr>
          <w:rFonts w:ascii="Arial" w:hAnsi="Arial" w:cs="Arial"/>
          <w:color w:val="222222"/>
          <w:sz w:val="20"/>
          <w:szCs w:val="20"/>
        </w:rPr>
        <w:t>« </w:t>
      </w:r>
      <w:r w:rsidRPr="00B32D63">
        <w:rPr>
          <w:rFonts w:ascii="Arial" w:hAnsi="Arial" w:cs="Arial"/>
          <w:color w:val="222222"/>
          <w:sz w:val="20"/>
          <w:szCs w:val="20"/>
        </w:rPr>
        <w:t>un peu</w:t>
      </w:r>
      <w:r>
        <w:rPr>
          <w:rFonts w:ascii="Arial" w:hAnsi="Arial" w:cs="Arial"/>
          <w:color w:val="222222"/>
          <w:sz w:val="20"/>
          <w:szCs w:val="20"/>
        </w:rPr>
        <w:t> »</w:t>
      </w:r>
      <w:r w:rsidRPr="00B32D63">
        <w:rPr>
          <w:rFonts w:ascii="Arial" w:hAnsi="Arial" w:cs="Arial"/>
          <w:color w:val="222222"/>
          <w:sz w:val="20"/>
          <w:szCs w:val="20"/>
        </w:rPr>
        <w:t xml:space="preserve"> déséquilibrée ne devrait donc pas être considérée comme illicite.</w:t>
      </w:r>
    </w:p>
    <w:p w14:paraId="1E84C197" w14:textId="77777777" w:rsidR="00343758" w:rsidRPr="00343758" w:rsidRDefault="00343758" w:rsidP="00343758">
      <w:pPr>
        <w:pStyle w:val="Titre2"/>
        <w:spacing w:before="240"/>
        <w:textAlignment w:val="baseline"/>
        <w:rPr>
          <w:color w:val="222222"/>
          <w:sz w:val="24"/>
          <w:szCs w:val="22"/>
        </w:rPr>
      </w:pPr>
      <w:r w:rsidRPr="00343758">
        <w:rPr>
          <w:color w:val="222222"/>
          <w:sz w:val="24"/>
          <w:szCs w:val="22"/>
        </w:rPr>
        <w:t>Quelques exemples de clauses jugées significativement déséquilibrées</w:t>
      </w:r>
    </w:p>
    <w:p w14:paraId="6603906D" w14:textId="77777777" w:rsidR="00343758" w:rsidRPr="00B32D63" w:rsidRDefault="00343758" w:rsidP="00343758">
      <w:pPr>
        <w:pStyle w:val="NormalWeb"/>
        <w:spacing w:before="0" w:beforeAutospacing="0" w:after="0" w:afterAutospacing="0"/>
        <w:jc w:val="both"/>
        <w:textAlignment w:val="baseline"/>
        <w:rPr>
          <w:rFonts w:ascii="Arial" w:hAnsi="Arial" w:cs="Arial"/>
          <w:color w:val="222222"/>
          <w:sz w:val="20"/>
          <w:szCs w:val="20"/>
        </w:rPr>
      </w:pPr>
      <w:proofErr w:type="spellStart"/>
      <w:r>
        <w:rPr>
          <w:rFonts w:ascii="Arial" w:hAnsi="Arial" w:cs="Arial"/>
          <w:color w:val="222222"/>
          <w:sz w:val="20"/>
          <w:szCs w:val="20"/>
        </w:rPr>
        <w:t>À</w:t>
      </w:r>
      <w:proofErr w:type="spellEnd"/>
      <w:r w:rsidRPr="00B32D63">
        <w:rPr>
          <w:rFonts w:ascii="Arial" w:hAnsi="Arial" w:cs="Arial"/>
          <w:color w:val="222222"/>
          <w:sz w:val="20"/>
          <w:szCs w:val="20"/>
        </w:rPr>
        <w:t xml:space="preserve"> été jugée significativement déséquilibrée la clause :</w:t>
      </w:r>
    </w:p>
    <w:p w14:paraId="31C885E2" w14:textId="77777777" w:rsidR="00343758" w:rsidRPr="005A4476" w:rsidRDefault="00343758" w:rsidP="00343758">
      <w:pPr>
        <w:numPr>
          <w:ilvl w:val="0"/>
          <w:numId w:val="9"/>
        </w:numPr>
        <w:ind w:left="360"/>
        <w:jc w:val="both"/>
        <w:textAlignment w:val="baseline"/>
        <w:rPr>
          <w:rFonts w:cs="Arial"/>
          <w:color w:val="222222"/>
          <w:szCs w:val="20"/>
        </w:rPr>
      </w:pPr>
      <w:r w:rsidRPr="005A4476">
        <w:rPr>
          <w:rFonts w:cs="Arial"/>
          <w:color w:val="222222"/>
          <w:szCs w:val="20"/>
        </w:rPr>
        <w:t>prévoyant des pénalités lorsque le taux de service (écart de quantités entre les commandes et les livraisons) que doit respecter le fournisseur est inférieur à 98,5 %.</w:t>
      </w:r>
    </w:p>
    <w:p w14:paraId="74C4F23C" w14:textId="77777777" w:rsidR="00343758" w:rsidRPr="005A4476" w:rsidRDefault="00343758" w:rsidP="00343758">
      <w:pPr>
        <w:numPr>
          <w:ilvl w:val="0"/>
          <w:numId w:val="9"/>
        </w:numPr>
        <w:ind w:left="360"/>
        <w:jc w:val="both"/>
        <w:textAlignment w:val="baseline"/>
        <w:rPr>
          <w:rFonts w:cs="Arial"/>
          <w:color w:val="222222"/>
          <w:szCs w:val="20"/>
        </w:rPr>
      </w:pPr>
      <w:r w:rsidRPr="005A4476">
        <w:rPr>
          <w:rFonts w:cs="Arial"/>
          <w:color w:val="222222"/>
          <w:szCs w:val="20"/>
        </w:rPr>
        <w:t>excluant systématiquement l'application des conditions générales de vente des fournisseurs au profit des conditions d'</w:t>
      </w:r>
      <w:r w:rsidRPr="00E51068">
        <w:rPr>
          <w:rFonts w:cs="Arial"/>
          <w:szCs w:val="20"/>
          <w:bdr w:val="none" w:sz="0" w:space="0" w:color="auto" w:frame="1"/>
        </w:rPr>
        <w:t>achat</w:t>
      </w:r>
      <w:r w:rsidRPr="005A4476">
        <w:rPr>
          <w:rFonts w:cs="Arial"/>
          <w:color w:val="222222"/>
          <w:szCs w:val="20"/>
        </w:rPr>
        <w:t> du distributeur.</w:t>
      </w:r>
    </w:p>
    <w:p w14:paraId="428DDE69" w14:textId="77777777" w:rsidR="00343758" w:rsidRPr="005A4476" w:rsidRDefault="00343758" w:rsidP="00343758">
      <w:pPr>
        <w:numPr>
          <w:ilvl w:val="0"/>
          <w:numId w:val="9"/>
        </w:numPr>
        <w:ind w:left="360"/>
        <w:jc w:val="both"/>
        <w:textAlignment w:val="baseline"/>
        <w:rPr>
          <w:rFonts w:cs="Arial"/>
          <w:color w:val="222222"/>
          <w:szCs w:val="20"/>
        </w:rPr>
      </w:pPr>
      <w:r w:rsidRPr="005A4476">
        <w:rPr>
          <w:rFonts w:cs="Arial"/>
          <w:color w:val="222222"/>
          <w:szCs w:val="20"/>
        </w:rPr>
        <w:t>comportant des délais de paiement non réciproques plus favorables pour l'une des parties.</w:t>
      </w:r>
    </w:p>
    <w:p w14:paraId="579A2A4D" w14:textId="77777777" w:rsidR="00343758" w:rsidRPr="005A4476" w:rsidRDefault="00343758" w:rsidP="00343758">
      <w:pPr>
        <w:numPr>
          <w:ilvl w:val="0"/>
          <w:numId w:val="9"/>
        </w:numPr>
        <w:ind w:left="360"/>
        <w:jc w:val="both"/>
        <w:textAlignment w:val="baseline"/>
        <w:rPr>
          <w:rFonts w:cs="Arial"/>
          <w:color w:val="222222"/>
          <w:szCs w:val="20"/>
        </w:rPr>
      </w:pPr>
      <w:r w:rsidRPr="005A4476">
        <w:rPr>
          <w:rFonts w:cs="Arial"/>
          <w:color w:val="222222"/>
          <w:szCs w:val="20"/>
        </w:rPr>
        <w:t>selon laquelle le fournisseur s'engage à reprendre les produits invendus en fin de saison et donc à assumer les risques de distribution à la place du distributeur.</w:t>
      </w:r>
    </w:p>
    <w:p w14:paraId="5055A2BD" w14:textId="77777777" w:rsidR="00343758" w:rsidRPr="005A4476" w:rsidRDefault="00343758" w:rsidP="00343758">
      <w:pPr>
        <w:numPr>
          <w:ilvl w:val="0"/>
          <w:numId w:val="9"/>
        </w:numPr>
        <w:ind w:left="360"/>
        <w:jc w:val="both"/>
        <w:textAlignment w:val="baseline"/>
        <w:rPr>
          <w:rFonts w:cs="Arial"/>
          <w:color w:val="222222"/>
          <w:szCs w:val="20"/>
        </w:rPr>
      </w:pPr>
      <w:r w:rsidRPr="005A4476">
        <w:rPr>
          <w:rFonts w:cs="Arial"/>
          <w:color w:val="222222"/>
          <w:szCs w:val="20"/>
        </w:rPr>
        <w:t>par laquelle une partie dispose d'un taux d'escompte anormalement élevé en cas de paiement anticipé de la facture, masquant ainsi une réduction de prix substantielle.</w:t>
      </w:r>
    </w:p>
    <w:p w14:paraId="0051138A" w14:textId="77777777" w:rsidR="00343758" w:rsidRPr="005A4476" w:rsidRDefault="00343758" w:rsidP="00343758">
      <w:pPr>
        <w:rPr>
          <w:rFonts w:cs="Arial"/>
          <w:color w:val="000000"/>
          <w:szCs w:val="20"/>
        </w:rPr>
      </w:pPr>
    </w:p>
    <w:p w14:paraId="58A7F0BD" w14:textId="77777777" w:rsidR="00343758" w:rsidRDefault="00343758" w:rsidP="00B06BB0">
      <w:pPr>
        <w:pStyle w:val="tacheseurasment"/>
        <w:rPr>
          <w:rFonts w:cs="Arial"/>
          <w:b/>
          <w:color w:val="000000"/>
          <w:sz w:val="28"/>
          <w:szCs w:val="20"/>
        </w:rPr>
      </w:pPr>
    </w:p>
    <w:p w14:paraId="3F7CF718" w14:textId="77777777" w:rsidR="00343758" w:rsidRDefault="00343758" w:rsidP="00B06BB0">
      <w:pPr>
        <w:pStyle w:val="tacheseurasment"/>
        <w:rPr>
          <w:rFonts w:cs="Arial"/>
          <w:b/>
          <w:color w:val="000000"/>
          <w:sz w:val="28"/>
          <w:szCs w:val="20"/>
        </w:rPr>
      </w:pPr>
    </w:p>
    <w:p w14:paraId="42811B27" w14:textId="25DAE563" w:rsidR="00343758" w:rsidRDefault="00343758" w:rsidP="00B06BB0">
      <w:pPr>
        <w:pStyle w:val="tacheseurasment"/>
        <w:rPr>
          <w:rFonts w:cs="Arial"/>
          <w:b/>
          <w:color w:val="000000"/>
          <w:sz w:val="28"/>
          <w:szCs w:val="20"/>
        </w:rPr>
      </w:pPr>
    </w:p>
    <w:p w14:paraId="599ED317" w14:textId="3D15082D" w:rsidR="00343758" w:rsidRDefault="00343758" w:rsidP="00B06BB0">
      <w:pPr>
        <w:pStyle w:val="tacheseurasment"/>
        <w:rPr>
          <w:rFonts w:cs="Arial"/>
          <w:b/>
          <w:color w:val="000000"/>
          <w:sz w:val="28"/>
          <w:szCs w:val="20"/>
        </w:rPr>
      </w:pPr>
    </w:p>
    <w:p w14:paraId="6AE7729F" w14:textId="4C253A84" w:rsidR="00343758" w:rsidRDefault="00343758" w:rsidP="00B06BB0">
      <w:pPr>
        <w:pStyle w:val="tacheseurasment"/>
        <w:rPr>
          <w:rFonts w:cs="Arial"/>
          <w:b/>
          <w:color w:val="000000"/>
          <w:sz w:val="28"/>
          <w:szCs w:val="20"/>
        </w:rPr>
      </w:pPr>
    </w:p>
    <w:p w14:paraId="4B42C46D" w14:textId="77777777" w:rsidR="00343758" w:rsidRDefault="00343758" w:rsidP="00B06BB0">
      <w:pPr>
        <w:pStyle w:val="tacheseurasment"/>
        <w:rPr>
          <w:rFonts w:cs="Arial"/>
          <w:b/>
          <w:color w:val="000000"/>
          <w:sz w:val="28"/>
          <w:szCs w:val="20"/>
        </w:rPr>
      </w:pPr>
    </w:p>
    <w:p w14:paraId="62AB3141" w14:textId="77777777" w:rsidR="00343758" w:rsidRDefault="00343758" w:rsidP="00B06BB0">
      <w:pPr>
        <w:pStyle w:val="tacheseurasment"/>
        <w:rPr>
          <w:rFonts w:cs="Arial"/>
          <w:b/>
          <w:color w:val="000000"/>
          <w:sz w:val="28"/>
          <w:szCs w:val="20"/>
        </w:rPr>
      </w:pPr>
    </w:p>
    <w:p w14:paraId="761E095D" w14:textId="6DFB7457" w:rsidR="00B06BB0" w:rsidRDefault="00372EF1" w:rsidP="00B06BB0">
      <w:pPr>
        <w:pStyle w:val="tacheseurasment"/>
        <w:rPr>
          <w:rFonts w:cs="Arial"/>
          <w:b/>
          <w:color w:val="000000"/>
          <w:sz w:val="28"/>
          <w:szCs w:val="20"/>
        </w:rPr>
      </w:pPr>
      <w:r>
        <w:rPr>
          <w:rFonts w:cs="Arial"/>
          <w:b/>
          <w:color w:val="000000"/>
          <w:sz w:val="28"/>
          <w:szCs w:val="20"/>
        </w:rPr>
        <w:t>Réponses</w:t>
      </w:r>
      <w:r w:rsidR="00B06BB0" w:rsidRPr="00B06BB0">
        <w:rPr>
          <w:rFonts w:cs="Arial"/>
          <w:b/>
          <w:color w:val="000000"/>
          <w:sz w:val="28"/>
          <w:szCs w:val="20"/>
        </w:rPr>
        <w:t xml:space="preserve"> </w:t>
      </w:r>
    </w:p>
    <w:p w14:paraId="53034417" w14:textId="262C3EDC" w:rsidR="00BF37FA" w:rsidRPr="00343758" w:rsidRDefault="00BF37FA">
      <w:pPr>
        <w:rPr>
          <w:sz w:val="20"/>
          <w:szCs w:val="20"/>
        </w:rPr>
      </w:pPr>
    </w:p>
    <w:p w14:paraId="281076C9" w14:textId="040BC960" w:rsidR="00343758" w:rsidRPr="00343758" w:rsidRDefault="00343758" w:rsidP="00343758">
      <w:pPr>
        <w:pStyle w:val="tacheseurasment"/>
        <w:numPr>
          <w:ilvl w:val="0"/>
          <w:numId w:val="10"/>
        </w:numPr>
        <w:rPr>
          <w:rFonts w:cs="Arial"/>
          <w:b/>
          <w:color w:val="000000"/>
          <w:sz w:val="22"/>
          <w:szCs w:val="22"/>
        </w:rPr>
      </w:pPr>
      <w:r w:rsidRPr="00343758">
        <w:rPr>
          <w:rFonts w:cs="Arial"/>
          <w:b/>
          <w:color w:val="000000"/>
          <w:sz w:val="22"/>
          <w:szCs w:val="22"/>
        </w:rPr>
        <w:t>Depuis quand les clauses déséquilibrées sont interdites en droit commercial ?</w:t>
      </w:r>
    </w:p>
    <w:p w14:paraId="53390B77" w14:textId="77265670" w:rsidR="00343758" w:rsidRPr="00343758" w:rsidRDefault="00343758" w:rsidP="00343758">
      <w:pPr>
        <w:pStyle w:val="tacheseurasment"/>
        <w:rPr>
          <w:rFonts w:cs="Arial"/>
          <w:bCs/>
          <w:color w:val="000000"/>
          <w:szCs w:val="20"/>
        </w:rPr>
      </w:pPr>
    </w:p>
    <w:p w14:paraId="14CF010C" w14:textId="77777777" w:rsidR="00343758" w:rsidRPr="00343758" w:rsidRDefault="00343758" w:rsidP="00343758">
      <w:pPr>
        <w:pStyle w:val="tacheseurasment"/>
        <w:rPr>
          <w:rFonts w:cs="Arial"/>
          <w:bCs/>
          <w:color w:val="000000"/>
          <w:szCs w:val="20"/>
        </w:rPr>
      </w:pPr>
    </w:p>
    <w:p w14:paraId="2EB2C7B8" w14:textId="77777777" w:rsidR="00343758" w:rsidRPr="00343758" w:rsidRDefault="00343758" w:rsidP="00343758">
      <w:pPr>
        <w:pStyle w:val="tacheseurasment"/>
        <w:rPr>
          <w:rFonts w:cs="Arial"/>
          <w:bCs/>
          <w:color w:val="000000"/>
          <w:szCs w:val="20"/>
        </w:rPr>
      </w:pPr>
    </w:p>
    <w:p w14:paraId="1AA9D3A4" w14:textId="1BA4A960" w:rsidR="00343758" w:rsidRPr="00343758" w:rsidRDefault="00343758" w:rsidP="00343758">
      <w:pPr>
        <w:pStyle w:val="tacheseurasment"/>
        <w:numPr>
          <w:ilvl w:val="0"/>
          <w:numId w:val="10"/>
        </w:numPr>
        <w:rPr>
          <w:rFonts w:cs="Arial"/>
          <w:b/>
          <w:color w:val="000000"/>
          <w:sz w:val="22"/>
          <w:szCs w:val="22"/>
        </w:rPr>
      </w:pPr>
      <w:r w:rsidRPr="00343758">
        <w:rPr>
          <w:rFonts w:cs="Arial"/>
          <w:b/>
          <w:color w:val="000000"/>
          <w:sz w:val="22"/>
          <w:szCs w:val="22"/>
        </w:rPr>
        <w:t>Quelle est la première condition requise qu’une clause soit déséquilibrée ?</w:t>
      </w:r>
    </w:p>
    <w:p w14:paraId="17027EF3" w14:textId="55CCF729" w:rsidR="00343758" w:rsidRPr="00343758" w:rsidRDefault="00343758" w:rsidP="00343758">
      <w:pPr>
        <w:pStyle w:val="tacheseurasment"/>
        <w:rPr>
          <w:rFonts w:cs="Arial"/>
          <w:bCs/>
          <w:color w:val="000000"/>
          <w:sz w:val="22"/>
          <w:szCs w:val="22"/>
        </w:rPr>
      </w:pPr>
    </w:p>
    <w:p w14:paraId="2F649AE3" w14:textId="77777777" w:rsidR="00343758" w:rsidRPr="00343758" w:rsidRDefault="00343758" w:rsidP="00343758">
      <w:pPr>
        <w:pStyle w:val="tacheseurasment"/>
        <w:rPr>
          <w:rFonts w:cs="Arial"/>
          <w:bCs/>
          <w:color w:val="000000"/>
          <w:sz w:val="22"/>
          <w:szCs w:val="22"/>
        </w:rPr>
      </w:pPr>
    </w:p>
    <w:p w14:paraId="0028ED29" w14:textId="4196CAD6" w:rsidR="00343758" w:rsidRPr="00343758" w:rsidRDefault="00343758" w:rsidP="00343758">
      <w:pPr>
        <w:pStyle w:val="tacheseurasment"/>
        <w:numPr>
          <w:ilvl w:val="0"/>
          <w:numId w:val="10"/>
        </w:numPr>
        <w:rPr>
          <w:rFonts w:cs="Arial"/>
          <w:b/>
          <w:color w:val="000000"/>
          <w:sz w:val="22"/>
          <w:szCs w:val="22"/>
        </w:rPr>
      </w:pPr>
      <w:r w:rsidRPr="00343758">
        <w:rPr>
          <w:rFonts w:cs="Arial"/>
          <w:b/>
          <w:color w:val="000000"/>
          <w:sz w:val="22"/>
          <w:szCs w:val="22"/>
        </w:rPr>
        <w:t>Quelle est la deuxième condition requise qu’une clause soit déséquilibrée ?</w:t>
      </w:r>
    </w:p>
    <w:p w14:paraId="50F03B73" w14:textId="2B257E19" w:rsidR="00343758" w:rsidRPr="00343758" w:rsidRDefault="00343758" w:rsidP="00343758">
      <w:pPr>
        <w:pStyle w:val="tacheseurasment"/>
        <w:rPr>
          <w:rFonts w:cs="Arial"/>
          <w:bCs/>
          <w:color w:val="000000"/>
          <w:sz w:val="22"/>
          <w:szCs w:val="22"/>
        </w:rPr>
      </w:pPr>
    </w:p>
    <w:p w14:paraId="58635E52" w14:textId="77777777" w:rsidR="00343758" w:rsidRPr="00343758" w:rsidRDefault="00343758" w:rsidP="00343758">
      <w:pPr>
        <w:pStyle w:val="tacheseurasment"/>
        <w:rPr>
          <w:rFonts w:cs="Arial"/>
          <w:bCs/>
          <w:color w:val="000000"/>
          <w:sz w:val="22"/>
          <w:szCs w:val="22"/>
        </w:rPr>
      </w:pPr>
    </w:p>
    <w:p w14:paraId="3D1EE24F" w14:textId="77777777" w:rsidR="00343758" w:rsidRPr="00343758" w:rsidRDefault="00343758" w:rsidP="00343758">
      <w:pPr>
        <w:pStyle w:val="tacheseurasment"/>
        <w:numPr>
          <w:ilvl w:val="0"/>
          <w:numId w:val="10"/>
        </w:numPr>
        <w:rPr>
          <w:rFonts w:cs="Arial"/>
          <w:b/>
          <w:color w:val="000000"/>
          <w:sz w:val="22"/>
          <w:szCs w:val="22"/>
        </w:rPr>
      </w:pPr>
      <w:r w:rsidRPr="00343758">
        <w:rPr>
          <w:rFonts w:cs="Arial"/>
          <w:b/>
          <w:color w:val="000000"/>
          <w:sz w:val="22"/>
          <w:szCs w:val="22"/>
        </w:rPr>
        <w:t>En quoi l’exemple (d)  est-il déséquilibré ?</w:t>
      </w:r>
    </w:p>
    <w:bookmarkEnd w:id="0"/>
    <w:p w14:paraId="0A743B38" w14:textId="53B74725" w:rsidR="00343758" w:rsidRPr="00343758" w:rsidRDefault="00343758">
      <w:pPr>
        <w:rPr>
          <w:sz w:val="24"/>
          <w:szCs w:val="24"/>
        </w:rPr>
      </w:pPr>
    </w:p>
    <w:sectPr w:rsidR="00343758" w:rsidRPr="00343758" w:rsidSect="00372EF1">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7"/>
    <w:multiLevelType w:val="hybridMultilevel"/>
    <w:tmpl w:val="06869486"/>
    <w:lvl w:ilvl="0" w:tplc="220445C4">
      <w:start w:val="11"/>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D57318"/>
    <w:multiLevelType w:val="hybridMultilevel"/>
    <w:tmpl w:val="542EFCF6"/>
    <w:lvl w:ilvl="0" w:tplc="93E64C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A2F2157"/>
    <w:multiLevelType w:val="hybridMultilevel"/>
    <w:tmpl w:val="9CC838E8"/>
    <w:lvl w:ilvl="0" w:tplc="F76EFBD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56F23"/>
    <w:multiLevelType w:val="hybridMultilevel"/>
    <w:tmpl w:val="2EACD094"/>
    <w:lvl w:ilvl="0" w:tplc="10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C3291"/>
    <w:multiLevelType w:val="hybridMultilevel"/>
    <w:tmpl w:val="5936E4CE"/>
    <w:lvl w:ilvl="0" w:tplc="220445C4">
      <w:start w:val="11"/>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A162F3"/>
    <w:multiLevelType w:val="hybridMultilevel"/>
    <w:tmpl w:val="A4D63DF8"/>
    <w:lvl w:ilvl="0" w:tplc="24A67A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33065F"/>
    <w:multiLevelType w:val="hybridMultilevel"/>
    <w:tmpl w:val="441C6CFE"/>
    <w:lvl w:ilvl="0" w:tplc="220445C4">
      <w:start w:val="11"/>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F606401"/>
    <w:multiLevelType w:val="hybridMultilevel"/>
    <w:tmpl w:val="AC80205A"/>
    <w:lvl w:ilvl="0" w:tplc="220445C4">
      <w:start w:val="11"/>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BB0732D"/>
    <w:multiLevelType w:val="hybridMultilevel"/>
    <w:tmpl w:val="B97C58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6892790">
    <w:abstractNumId w:val="1"/>
  </w:num>
  <w:num w:numId="2" w16cid:durableId="16931925">
    <w:abstractNumId w:val="0"/>
  </w:num>
  <w:num w:numId="3" w16cid:durableId="673999364">
    <w:abstractNumId w:val="8"/>
  </w:num>
  <w:num w:numId="4" w16cid:durableId="692924847">
    <w:abstractNumId w:val="9"/>
  </w:num>
  <w:num w:numId="5" w16cid:durableId="1548375713">
    <w:abstractNumId w:val="5"/>
  </w:num>
  <w:num w:numId="6" w16cid:durableId="150145803">
    <w:abstractNumId w:val="7"/>
  </w:num>
  <w:num w:numId="7" w16cid:durableId="1630630629">
    <w:abstractNumId w:val="2"/>
  </w:num>
  <w:num w:numId="8" w16cid:durableId="954991705">
    <w:abstractNumId w:val="6"/>
  </w:num>
  <w:num w:numId="9" w16cid:durableId="1936741538">
    <w:abstractNumId w:val="4"/>
  </w:num>
  <w:num w:numId="10" w16cid:durableId="1537086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B0"/>
    <w:rsid w:val="00052593"/>
    <w:rsid w:val="00204475"/>
    <w:rsid w:val="00343758"/>
    <w:rsid w:val="00372EF1"/>
    <w:rsid w:val="00775B87"/>
    <w:rsid w:val="00944A38"/>
    <w:rsid w:val="00B06BB0"/>
    <w:rsid w:val="00BF37FA"/>
    <w:rsid w:val="00D76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F5B7"/>
  <w15:chartTrackingRefBased/>
  <w15:docId w15:val="{988342A1-09B3-4011-9778-FEBCDBFD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0"/>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B06BB0"/>
    <w:pPr>
      <w:spacing w:after="120"/>
      <w:outlineLvl w:val="1"/>
    </w:pPr>
    <w:rPr>
      <w:rFonts w:cs="Arial"/>
      <w:b/>
      <w:color w:val="000000"/>
      <w:sz w:val="28"/>
      <w:szCs w:val="20"/>
    </w:rPr>
  </w:style>
  <w:style w:type="paragraph" w:styleId="Titre3">
    <w:name w:val="heading 3"/>
    <w:basedOn w:val="tacheseurasment"/>
    <w:next w:val="Normal"/>
    <w:link w:val="Titre3Car"/>
    <w:uiPriority w:val="9"/>
    <w:qFormat/>
    <w:rsid w:val="00B06BB0"/>
    <w:pPr>
      <w:numPr>
        <w:numId w:val="1"/>
      </w:numPr>
      <w:spacing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6BB0"/>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06BB0"/>
    <w:rPr>
      <w:rFonts w:ascii="Arial" w:eastAsia="Times New Roman" w:hAnsi="Arial" w:cs="Arial"/>
      <w:b/>
      <w:color w:val="000000"/>
      <w:sz w:val="24"/>
      <w:szCs w:val="20"/>
      <w:lang w:eastAsia="fr-FR"/>
    </w:rPr>
  </w:style>
  <w:style w:type="paragraph" w:customStyle="1" w:styleId="tacheseurasment">
    <w:name w:val="taches eurasment"/>
    <w:basedOn w:val="Normal"/>
    <w:rsid w:val="00B06BB0"/>
    <w:rPr>
      <w:rFonts w:eastAsia="Times New Roman"/>
      <w:sz w:val="20"/>
      <w:szCs w:val="24"/>
      <w:lang w:eastAsia="fr-FR"/>
    </w:rPr>
  </w:style>
  <w:style w:type="character" w:styleId="lev">
    <w:name w:val="Strong"/>
    <w:aliases w:val="a texte"/>
    <w:uiPriority w:val="22"/>
    <w:qFormat/>
    <w:rsid w:val="00B06BB0"/>
    <w:rPr>
      <w:b/>
      <w:bCs/>
    </w:rPr>
  </w:style>
  <w:style w:type="paragraph" w:styleId="Paragraphedeliste">
    <w:name w:val="List Paragraph"/>
    <w:basedOn w:val="Normal"/>
    <w:uiPriority w:val="34"/>
    <w:qFormat/>
    <w:rsid w:val="00B06BB0"/>
    <w:pPr>
      <w:ind w:left="720"/>
      <w:contextualSpacing/>
    </w:pPr>
  </w:style>
  <w:style w:type="paragraph" w:styleId="NormalWeb">
    <w:name w:val="Normal (Web)"/>
    <w:basedOn w:val="Normal"/>
    <w:uiPriority w:val="99"/>
    <w:rsid w:val="00343758"/>
    <w:pPr>
      <w:spacing w:before="100" w:beforeAutospacing="1" w:after="100" w:afterAutospacing="1"/>
    </w:pPr>
    <w:rPr>
      <w:rFonts w:ascii="Times New Roman" w:eastAsia="Times New Roman" w:hAnsi="Times New Roman"/>
      <w:sz w:val="24"/>
      <w:szCs w:val="24"/>
      <w:lang w:eastAsia="fr-FR"/>
    </w:rPr>
  </w:style>
  <w:style w:type="paragraph" w:customStyle="1" w:styleId="chapeau">
    <w:name w:val="chapeau"/>
    <w:basedOn w:val="Normal"/>
    <w:rsid w:val="00343758"/>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2014-12-31T14:41:00Z</dcterms:created>
  <dcterms:modified xsi:type="dcterms:W3CDTF">2023-01-13T17:02:00Z</dcterms:modified>
</cp:coreProperties>
</file>