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654"/>
        <w:gridCol w:w="1130"/>
      </w:tblGrid>
      <w:tr w:rsidR="00372EF1" w:rsidRPr="00180796" w14:paraId="030178F5" w14:textId="77777777" w:rsidTr="00D06EF6">
        <w:trPr>
          <w:trHeight w:val="386"/>
        </w:trPr>
        <w:tc>
          <w:tcPr>
            <w:tcW w:w="10197" w:type="dxa"/>
            <w:gridSpan w:val="3"/>
            <w:shd w:val="clear" w:color="auto" w:fill="FFFF00"/>
          </w:tcPr>
          <w:p w14:paraId="3F783E79" w14:textId="77777777" w:rsidR="00372EF1" w:rsidRPr="00180796" w:rsidRDefault="00372EF1" w:rsidP="00D06EF6">
            <w:pPr>
              <w:pStyle w:val="Titre2"/>
              <w:spacing w:before="120"/>
              <w:jc w:val="center"/>
              <w:rPr>
                <w:szCs w:val="22"/>
              </w:rPr>
            </w:pPr>
            <w:r w:rsidRPr="00180796">
              <w:rPr>
                <w:szCs w:val="22"/>
              </w:rPr>
              <w:t xml:space="preserve">Réflexion </w:t>
            </w:r>
            <w:r>
              <w:rPr>
                <w:szCs w:val="22"/>
              </w:rPr>
              <w:t xml:space="preserve">1 </w:t>
            </w:r>
            <w:r w:rsidRPr="00180796">
              <w:rPr>
                <w:szCs w:val="22"/>
              </w:rPr>
              <w:t>- Identifier les conditions générales de validité d’un contrat</w:t>
            </w:r>
          </w:p>
        </w:tc>
      </w:tr>
      <w:tr w:rsidR="00372EF1" w:rsidRPr="00173A63" w14:paraId="64978D00" w14:textId="77777777" w:rsidTr="00D06EF6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6A8A100A" w14:textId="77777777" w:rsidR="00372EF1" w:rsidRPr="00FF0A24" w:rsidRDefault="00372EF1" w:rsidP="00D06EF6">
            <w:r w:rsidRPr="00FF0A24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654" w:type="dxa"/>
            <w:shd w:val="clear" w:color="auto" w:fill="FFFF00"/>
            <w:vAlign w:val="center"/>
          </w:tcPr>
          <w:p w14:paraId="4D9642F3" w14:textId="77777777" w:rsidR="00372EF1" w:rsidRPr="00FF0A24" w:rsidRDefault="00372EF1" w:rsidP="00D06EF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2B4AC9" wp14:editId="30E0EF17">
                  <wp:extent cx="288000" cy="288000"/>
                  <wp:effectExtent l="0" t="0" r="0" b="0"/>
                  <wp:docPr id="28" name="Graphique 2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que 28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ou</w:t>
            </w:r>
            <w:r>
              <w:rPr>
                <w:noProof/>
              </w:rPr>
              <w:drawing>
                <wp:inline distT="0" distB="0" distL="0" distR="0" wp14:anchorId="404118C0" wp14:editId="1C5F5DF6">
                  <wp:extent cx="324000" cy="324000"/>
                  <wp:effectExtent l="0" t="0" r="0" b="0"/>
                  <wp:docPr id="29" name="Graphique 29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que 29" descr="Homme et fe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189343AA" w14:textId="77777777" w:rsidR="00372EF1" w:rsidRPr="00744374" w:rsidRDefault="00372EF1" w:rsidP="00D06EF6">
            <w:pPr>
              <w:jc w:val="center"/>
              <w:rPr>
                <w:i/>
              </w:rPr>
            </w:pPr>
            <w:r w:rsidRPr="00744374">
              <w:t>Source</w:t>
            </w:r>
          </w:p>
        </w:tc>
      </w:tr>
    </w:tbl>
    <w:p w14:paraId="25091457" w14:textId="77777777" w:rsidR="00372EF1" w:rsidRDefault="00372EF1" w:rsidP="00372EF1">
      <w:pPr>
        <w:pStyle w:val="tacheseurasment"/>
        <w:rPr>
          <w:rFonts w:cs="Arial"/>
          <w:color w:val="000000"/>
          <w:szCs w:val="20"/>
        </w:rPr>
      </w:pPr>
    </w:p>
    <w:p w14:paraId="685E1130" w14:textId="77777777" w:rsidR="00372EF1" w:rsidRDefault="00372EF1" w:rsidP="00372EF1">
      <w:pPr>
        <w:pStyle w:val="tacheseurasment"/>
        <w:rPr>
          <w:rFonts w:cs="Arial"/>
          <w:b/>
          <w:color w:val="000000"/>
          <w:sz w:val="24"/>
          <w:szCs w:val="20"/>
        </w:rPr>
      </w:pPr>
      <w:r w:rsidRPr="00ED2B71">
        <w:rPr>
          <w:rFonts w:cs="Arial"/>
          <w:b/>
          <w:color w:val="000000"/>
          <w:sz w:val="24"/>
          <w:szCs w:val="20"/>
        </w:rPr>
        <w:t>Travail à faire</w:t>
      </w:r>
    </w:p>
    <w:p w14:paraId="7BC6587E" w14:textId="77777777" w:rsidR="00372EF1" w:rsidRPr="00B32D63" w:rsidRDefault="00372EF1" w:rsidP="00372EF1">
      <w:pPr>
        <w:spacing w:before="120" w:after="120"/>
        <w:rPr>
          <w:rFonts w:cs="Arial"/>
          <w:szCs w:val="20"/>
        </w:rPr>
      </w:pPr>
      <w:r w:rsidRPr="00B32D63">
        <w:rPr>
          <w:rFonts w:cs="Arial"/>
          <w:szCs w:val="20"/>
        </w:rPr>
        <w:t>Après avoir lu le document, répondez aux questions suivantes.</w:t>
      </w:r>
    </w:p>
    <w:p w14:paraId="033DD5DC" w14:textId="77777777" w:rsidR="00372EF1" w:rsidRPr="00180796" w:rsidRDefault="00372EF1" w:rsidP="00372EF1">
      <w:pPr>
        <w:pStyle w:val="tacheseurasment"/>
        <w:numPr>
          <w:ilvl w:val="0"/>
          <w:numId w:val="4"/>
        </w:numPr>
        <w:ind w:left="360"/>
        <w:rPr>
          <w:rFonts w:cs="Arial"/>
          <w:bCs/>
          <w:color w:val="000000"/>
          <w:szCs w:val="20"/>
        </w:rPr>
      </w:pPr>
      <w:r w:rsidRPr="00180796">
        <w:rPr>
          <w:rFonts w:cs="Arial"/>
          <w:bCs/>
          <w:color w:val="000000"/>
          <w:szCs w:val="20"/>
        </w:rPr>
        <w:t>Qu’est-ce qu’un consentement explicite ?</w:t>
      </w:r>
    </w:p>
    <w:p w14:paraId="7642049A" w14:textId="77777777" w:rsidR="00372EF1" w:rsidRPr="00180796" w:rsidRDefault="00372EF1" w:rsidP="00372EF1">
      <w:pPr>
        <w:pStyle w:val="tacheseurasment"/>
        <w:numPr>
          <w:ilvl w:val="0"/>
          <w:numId w:val="4"/>
        </w:numPr>
        <w:ind w:left="360"/>
        <w:rPr>
          <w:rFonts w:cs="Arial"/>
          <w:bCs/>
          <w:color w:val="000000"/>
          <w:szCs w:val="20"/>
        </w:rPr>
      </w:pPr>
      <w:r w:rsidRPr="00180796">
        <w:rPr>
          <w:rFonts w:cs="Arial"/>
          <w:bCs/>
          <w:color w:val="000000"/>
          <w:szCs w:val="20"/>
        </w:rPr>
        <w:t>Pourquoi, lors d’un achat en magasin, un consentement implicite est-il admis ?</w:t>
      </w:r>
    </w:p>
    <w:p w14:paraId="5DB7842D" w14:textId="77777777" w:rsidR="00372EF1" w:rsidRPr="00180796" w:rsidRDefault="00372EF1" w:rsidP="00372EF1">
      <w:pPr>
        <w:pStyle w:val="tacheseurasment"/>
        <w:numPr>
          <w:ilvl w:val="0"/>
          <w:numId w:val="4"/>
        </w:numPr>
        <w:ind w:left="360"/>
        <w:rPr>
          <w:rFonts w:cs="Arial"/>
          <w:bCs/>
          <w:color w:val="000000"/>
          <w:szCs w:val="20"/>
        </w:rPr>
      </w:pPr>
      <w:r w:rsidRPr="00180796">
        <w:rPr>
          <w:rFonts w:cs="Arial"/>
          <w:bCs/>
          <w:color w:val="000000"/>
          <w:szCs w:val="20"/>
        </w:rPr>
        <w:t>Citez des cas ou une personne n’a pas la capacité de contracter</w:t>
      </w:r>
    </w:p>
    <w:p w14:paraId="6456A968" w14:textId="77777777" w:rsidR="00372EF1" w:rsidRPr="00180796" w:rsidRDefault="00372EF1" w:rsidP="00372EF1">
      <w:pPr>
        <w:pStyle w:val="tacheseurasment"/>
        <w:numPr>
          <w:ilvl w:val="0"/>
          <w:numId w:val="4"/>
        </w:numPr>
        <w:ind w:left="360"/>
        <w:rPr>
          <w:rFonts w:cs="Arial"/>
          <w:bCs/>
          <w:color w:val="000000"/>
          <w:szCs w:val="20"/>
        </w:rPr>
      </w:pPr>
      <w:r w:rsidRPr="00180796">
        <w:rPr>
          <w:rFonts w:cs="Arial"/>
          <w:bCs/>
          <w:color w:val="000000"/>
          <w:szCs w:val="20"/>
        </w:rPr>
        <w:t>Citez des cas d’objets illicites, de causes illicites</w:t>
      </w:r>
    </w:p>
    <w:p w14:paraId="6BADECAB" w14:textId="77777777" w:rsidR="00372EF1" w:rsidRPr="00180796" w:rsidRDefault="00372EF1" w:rsidP="00372EF1">
      <w:pPr>
        <w:pStyle w:val="tacheseurasment"/>
        <w:numPr>
          <w:ilvl w:val="0"/>
          <w:numId w:val="4"/>
        </w:numPr>
        <w:ind w:left="360"/>
        <w:rPr>
          <w:rFonts w:cs="Arial"/>
          <w:bCs/>
          <w:color w:val="000000"/>
          <w:szCs w:val="20"/>
        </w:rPr>
      </w:pPr>
      <w:r w:rsidRPr="00180796">
        <w:rPr>
          <w:rFonts w:cs="Arial"/>
          <w:bCs/>
          <w:color w:val="000000"/>
          <w:szCs w:val="20"/>
        </w:rPr>
        <w:t>Quelle est l’utilité de fixer des dates de validité du contrat ?</w:t>
      </w:r>
    </w:p>
    <w:p w14:paraId="0A5D5FEC" w14:textId="77777777" w:rsidR="00372EF1" w:rsidRPr="00180796" w:rsidRDefault="00372EF1" w:rsidP="00372EF1">
      <w:pPr>
        <w:pStyle w:val="tacheseurasment"/>
        <w:numPr>
          <w:ilvl w:val="0"/>
          <w:numId w:val="4"/>
        </w:numPr>
        <w:ind w:left="360"/>
        <w:rPr>
          <w:rFonts w:cs="Arial"/>
          <w:bCs/>
          <w:color w:val="000000"/>
          <w:szCs w:val="20"/>
        </w:rPr>
      </w:pPr>
      <w:r w:rsidRPr="00180796">
        <w:rPr>
          <w:rFonts w:cs="Arial"/>
          <w:bCs/>
          <w:color w:val="000000"/>
          <w:szCs w:val="20"/>
        </w:rPr>
        <w:t>Citez des conditions de limitation de responsabilité ou de garantie</w:t>
      </w:r>
    </w:p>
    <w:p w14:paraId="3B35A7B1" w14:textId="77777777" w:rsidR="00372EF1" w:rsidRPr="00180796" w:rsidRDefault="00372EF1" w:rsidP="00372EF1">
      <w:pPr>
        <w:pStyle w:val="tacheseurasment"/>
        <w:numPr>
          <w:ilvl w:val="0"/>
          <w:numId w:val="4"/>
        </w:numPr>
        <w:ind w:left="360"/>
        <w:rPr>
          <w:rFonts w:cs="Arial"/>
          <w:bCs/>
          <w:color w:val="000000"/>
          <w:szCs w:val="20"/>
        </w:rPr>
      </w:pPr>
      <w:r w:rsidRPr="00180796">
        <w:rPr>
          <w:rFonts w:cs="Arial"/>
          <w:bCs/>
          <w:color w:val="000000"/>
          <w:szCs w:val="20"/>
        </w:rPr>
        <w:t>Pourquoi préciser les modalités de livraison ?</w:t>
      </w:r>
    </w:p>
    <w:p w14:paraId="146F0BAB" w14:textId="77777777" w:rsidR="00372EF1" w:rsidRPr="00180796" w:rsidRDefault="00372EF1" w:rsidP="00372EF1">
      <w:pPr>
        <w:pStyle w:val="tacheseurasment"/>
        <w:numPr>
          <w:ilvl w:val="0"/>
          <w:numId w:val="4"/>
        </w:numPr>
        <w:ind w:left="360"/>
        <w:rPr>
          <w:rFonts w:cs="Arial"/>
          <w:bCs/>
          <w:color w:val="000000"/>
          <w:szCs w:val="20"/>
        </w:rPr>
      </w:pPr>
      <w:r w:rsidRPr="00180796">
        <w:rPr>
          <w:rFonts w:cs="Arial"/>
          <w:bCs/>
          <w:color w:val="000000"/>
          <w:szCs w:val="20"/>
        </w:rPr>
        <w:t xml:space="preserve">Pourquoi préciser les clauses pénales applicables en cas d’annulation de </w:t>
      </w:r>
      <w:r w:rsidRPr="00180796">
        <w:rPr>
          <w:bCs/>
          <w:szCs w:val="20"/>
        </w:rPr>
        <w:t>contrat ou de litige.</w:t>
      </w:r>
    </w:p>
    <w:p w14:paraId="031F54D9" w14:textId="77777777" w:rsidR="00372EF1" w:rsidRDefault="00372EF1" w:rsidP="00372EF1">
      <w:pPr>
        <w:rPr>
          <w:rFonts w:cs="Arial"/>
          <w:color w:val="000000"/>
          <w:szCs w:val="20"/>
        </w:rPr>
      </w:pPr>
    </w:p>
    <w:p w14:paraId="6406C55F" w14:textId="77777777" w:rsidR="00372EF1" w:rsidRPr="0038711B" w:rsidRDefault="00372EF1" w:rsidP="00372EF1">
      <w:pPr>
        <w:spacing w:before="120"/>
        <w:rPr>
          <w:rStyle w:val="lev"/>
          <w:rFonts w:cs="Arial"/>
          <w:sz w:val="24"/>
        </w:rPr>
      </w:pPr>
      <w:r w:rsidRPr="00180796">
        <w:rPr>
          <w:rStyle w:val="lev"/>
          <w:rFonts w:cs="Arial"/>
          <w:color w:val="FFFFFF" w:themeColor="background1"/>
          <w:sz w:val="24"/>
          <w:highlight w:val="red"/>
        </w:rPr>
        <w:t>Doc. 1 </w:t>
      </w:r>
      <w:r w:rsidRPr="00180796">
        <w:rPr>
          <w:rStyle w:val="lev"/>
          <w:rFonts w:cs="Arial"/>
          <w:color w:val="FFFFFF" w:themeColor="background1"/>
          <w:sz w:val="24"/>
        </w:rPr>
        <w:t xml:space="preserve"> </w:t>
      </w:r>
      <w:r w:rsidRPr="0038711B">
        <w:rPr>
          <w:rStyle w:val="lev"/>
          <w:rFonts w:cs="Arial"/>
          <w:sz w:val="24"/>
        </w:rPr>
        <w:t>Conditions de validité d’un contrat</w:t>
      </w:r>
    </w:p>
    <w:p w14:paraId="72CEC4B9" w14:textId="77777777" w:rsidR="00372EF1" w:rsidRPr="0038711B" w:rsidRDefault="00372EF1" w:rsidP="00372EF1">
      <w:pPr>
        <w:spacing w:before="120"/>
        <w:rPr>
          <w:rStyle w:val="lev"/>
          <w:rFonts w:cs="Arial"/>
          <w:szCs w:val="20"/>
        </w:rPr>
      </w:pPr>
      <w:r w:rsidRPr="0038711B">
        <w:rPr>
          <w:rStyle w:val="lev"/>
          <w:rFonts w:cs="Arial"/>
          <w:szCs w:val="20"/>
        </w:rPr>
        <w:t xml:space="preserve">Les contrats commerciaux sont des actes juridiques qui engagent les parties. </w:t>
      </w:r>
    </w:p>
    <w:p w14:paraId="015DDDAE" w14:textId="77777777" w:rsidR="00372EF1" w:rsidRPr="0038711B" w:rsidRDefault="00372EF1" w:rsidP="00372EF1">
      <w:pPr>
        <w:rPr>
          <w:rFonts w:cs="Arial"/>
          <w:szCs w:val="20"/>
          <w:lang w:eastAsia="fr-FR"/>
        </w:rPr>
      </w:pPr>
      <w:r w:rsidRPr="0038711B">
        <w:rPr>
          <w:rStyle w:val="lev"/>
          <w:rFonts w:cs="Arial"/>
          <w:szCs w:val="20"/>
        </w:rPr>
        <w:t>I</w:t>
      </w:r>
      <w:r w:rsidRPr="0038711B">
        <w:rPr>
          <w:rFonts w:cs="Arial"/>
          <w:szCs w:val="20"/>
        </w:rPr>
        <w:t>ls doivent être rédigés avec rigueur et contrôlés avant toute signature.</w:t>
      </w:r>
    </w:p>
    <w:p w14:paraId="090E020E" w14:textId="77777777" w:rsidR="00372EF1" w:rsidRPr="0038711B" w:rsidRDefault="00372EF1" w:rsidP="00372EF1">
      <w:pPr>
        <w:pStyle w:val="Titre3"/>
        <w:spacing w:before="120"/>
        <w:ind w:left="284" w:hanging="284"/>
        <w:rPr>
          <w:b w:val="0"/>
          <w:sz w:val="20"/>
        </w:rPr>
      </w:pPr>
      <w:r w:rsidRPr="0038711B">
        <w:rPr>
          <w:color w:val="auto"/>
          <w:sz w:val="20"/>
        </w:rPr>
        <w:t xml:space="preserve">Conditions de validité : </w:t>
      </w:r>
      <w:r w:rsidRPr="0038711B">
        <w:rPr>
          <w:b w:val="0"/>
          <w:color w:val="auto"/>
          <w:sz w:val="20"/>
        </w:rPr>
        <w:t>pour être</w:t>
      </w:r>
      <w:r w:rsidRPr="0038711B">
        <w:rPr>
          <w:b w:val="0"/>
          <w:sz w:val="20"/>
        </w:rPr>
        <w:t xml:space="preserve"> valable, un contrat doit réunir les conditions suivantes</w:t>
      </w:r>
      <w:r>
        <w:rPr>
          <w:b w:val="0"/>
          <w:sz w:val="20"/>
        </w:rPr>
        <w:t>.</w:t>
      </w:r>
    </w:p>
    <w:p w14:paraId="79717C25" w14:textId="77777777" w:rsidR="00372EF1" w:rsidRPr="0038711B" w:rsidRDefault="00372EF1" w:rsidP="00372EF1">
      <w:pPr>
        <w:pStyle w:val="Paragraphedeliste"/>
        <w:numPr>
          <w:ilvl w:val="0"/>
          <w:numId w:val="3"/>
        </w:numPr>
        <w:spacing w:before="120"/>
        <w:ind w:left="284" w:hanging="284"/>
        <w:jc w:val="both"/>
        <w:rPr>
          <w:rFonts w:cs="Arial"/>
          <w:szCs w:val="20"/>
        </w:rPr>
      </w:pPr>
      <w:r>
        <w:rPr>
          <w:rStyle w:val="lev"/>
          <w:rFonts w:cs="Arial"/>
          <w:szCs w:val="20"/>
        </w:rPr>
        <w:t>u</w:t>
      </w:r>
      <w:r w:rsidRPr="0038711B">
        <w:rPr>
          <w:rStyle w:val="lev"/>
          <w:rFonts w:cs="Arial"/>
          <w:szCs w:val="20"/>
        </w:rPr>
        <w:t>n consentement</w:t>
      </w:r>
      <w:r w:rsidRPr="0038711B">
        <w:rPr>
          <w:szCs w:val="20"/>
        </w:rPr>
        <w:t xml:space="preserve"> </w:t>
      </w:r>
      <w:r w:rsidRPr="0038711B">
        <w:rPr>
          <w:b/>
          <w:szCs w:val="20"/>
        </w:rPr>
        <w:t xml:space="preserve">explicite des deux parties. </w:t>
      </w:r>
      <w:r w:rsidRPr="0038711B">
        <w:rPr>
          <w:rFonts w:cs="Arial"/>
          <w:szCs w:val="20"/>
        </w:rPr>
        <w:t xml:space="preserve">L'écrit n’est pas obligatoire mais conseillé pour les contrats entre professionnel (BtoB). Le contrat avec particulier (BtoC) peut être implicite </w:t>
      </w:r>
      <w:r w:rsidRPr="0038711B">
        <w:rPr>
          <w:rFonts w:cs="Arial"/>
          <w:i/>
          <w:szCs w:val="20"/>
        </w:rPr>
        <w:t>(exemple : le passage en caisse est une acceptation implicite des conditions de vente du magasin)</w:t>
      </w:r>
      <w:r w:rsidRPr="0038711B">
        <w:rPr>
          <w:rFonts w:cs="Arial"/>
          <w:szCs w:val="20"/>
        </w:rPr>
        <w:t xml:space="preserve">. Attention : </w:t>
      </w:r>
      <w:r w:rsidRPr="0038711B">
        <w:rPr>
          <w:szCs w:val="20"/>
        </w:rPr>
        <w:t xml:space="preserve">le silence ne vaut pas acceptation et le </w:t>
      </w:r>
      <w:r w:rsidRPr="0038711B">
        <w:rPr>
          <w:rFonts w:cs="Arial"/>
          <w:szCs w:val="20"/>
        </w:rPr>
        <w:t xml:space="preserve">consentement doit </w:t>
      </w:r>
      <w:r>
        <w:rPr>
          <w:rFonts w:cs="Arial"/>
          <w:szCs w:val="20"/>
        </w:rPr>
        <w:t xml:space="preserve">être </w:t>
      </w:r>
      <w:r w:rsidRPr="0038711B">
        <w:rPr>
          <w:rFonts w:cs="Arial"/>
          <w:szCs w:val="20"/>
        </w:rPr>
        <w:t>libre (sans violence) et éclairé (sans tromperie).</w:t>
      </w:r>
    </w:p>
    <w:p w14:paraId="11B49177" w14:textId="77777777" w:rsidR="00372EF1" w:rsidRPr="0038711B" w:rsidRDefault="00372EF1" w:rsidP="00372EF1">
      <w:pPr>
        <w:pStyle w:val="Paragraphedeliste"/>
        <w:numPr>
          <w:ilvl w:val="0"/>
          <w:numId w:val="3"/>
        </w:numPr>
        <w:spacing w:before="120"/>
        <w:jc w:val="both"/>
        <w:rPr>
          <w:szCs w:val="20"/>
        </w:rPr>
      </w:pPr>
      <w:r w:rsidRPr="0038711B">
        <w:rPr>
          <w:rStyle w:val="lev"/>
          <w:rFonts w:cs="Arial"/>
          <w:szCs w:val="20"/>
        </w:rPr>
        <w:t>Une capacité</w:t>
      </w:r>
      <w:r w:rsidRPr="0038711B">
        <w:rPr>
          <w:szCs w:val="20"/>
        </w:rPr>
        <w:t xml:space="preserve"> à contracter des deux parties.</w:t>
      </w:r>
    </w:p>
    <w:p w14:paraId="573D4165" w14:textId="77777777" w:rsidR="00372EF1" w:rsidRPr="0038711B" w:rsidRDefault="00372EF1" w:rsidP="00372EF1">
      <w:pPr>
        <w:pStyle w:val="Paragraphedeliste"/>
        <w:numPr>
          <w:ilvl w:val="0"/>
          <w:numId w:val="3"/>
        </w:numPr>
        <w:jc w:val="both"/>
        <w:rPr>
          <w:szCs w:val="20"/>
        </w:rPr>
      </w:pPr>
      <w:r w:rsidRPr="0038711B">
        <w:rPr>
          <w:rStyle w:val="lev"/>
          <w:rFonts w:cs="Arial"/>
          <w:szCs w:val="20"/>
        </w:rPr>
        <w:t>Un objet</w:t>
      </w:r>
      <w:r w:rsidRPr="0038711B">
        <w:rPr>
          <w:szCs w:val="20"/>
        </w:rPr>
        <w:t xml:space="preserve"> </w:t>
      </w:r>
      <w:r w:rsidRPr="0038711B">
        <w:rPr>
          <w:b/>
          <w:szCs w:val="20"/>
        </w:rPr>
        <w:t xml:space="preserve">identifié et licite </w:t>
      </w:r>
      <w:r w:rsidRPr="0038711B">
        <w:rPr>
          <w:szCs w:val="20"/>
        </w:rPr>
        <w:t>(</w:t>
      </w:r>
      <w:r w:rsidRPr="0038711B">
        <w:rPr>
          <w:rFonts w:cs="Arial"/>
          <w:szCs w:val="20"/>
        </w:rPr>
        <w:t xml:space="preserve">conforme à l'ordre public et aux bonnes mœurs). </w:t>
      </w:r>
      <w:r w:rsidRPr="0038711B">
        <w:rPr>
          <w:szCs w:val="20"/>
        </w:rPr>
        <w:t xml:space="preserve">Il existe </w:t>
      </w:r>
      <w:r>
        <w:rPr>
          <w:szCs w:val="20"/>
        </w:rPr>
        <w:t>3</w:t>
      </w:r>
      <w:r w:rsidRPr="0038711B">
        <w:rPr>
          <w:szCs w:val="20"/>
        </w:rPr>
        <w:t xml:space="preserve"> obligations découlant de l’objet : </w:t>
      </w:r>
      <w:r>
        <w:rPr>
          <w:szCs w:val="20"/>
        </w:rPr>
        <w:t xml:space="preserve">obligation de </w:t>
      </w:r>
      <w:r w:rsidRPr="0038711B">
        <w:rPr>
          <w:szCs w:val="20"/>
        </w:rPr>
        <w:t>transférer la propriété d’un bien (vente), obligation de faire (service) ou obligation de ne pas faire (clause de non concurrence). Ces obligations peuvent être de moyen ou de résultat</w:t>
      </w:r>
      <w:r>
        <w:rPr>
          <w:szCs w:val="20"/>
        </w:rPr>
        <w:t>.</w:t>
      </w:r>
    </w:p>
    <w:p w14:paraId="64029E40" w14:textId="77777777" w:rsidR="00372EF1" w:rsidRPr="0038711B" w:rsidRDefault="00372EF1" w:rsidP="00372EF1">
      <w:pPr>
        <w:pStyle w:val="Paragraphedeliste"/>
        <w:numPr>
          <w:ilvl w:val="0"/>
          <w:numId w:val="3"/>
        </w:numPr>
        <w:jc w:val="both"/>
        <w:rPr>
          <w:szCs w:val="20"/>
        </w:rPr>
      </w:pPr>
      <w:r>
        <w:rPr>
          <w:rStyle w:val="lev"/>
          <w:rFonts w:cs="Arial"/>
          <w:szCs w:val="20"/>
        </w:rPr>
        <w:t>U</w:t>
      </w:r>
      <w:r w:rsidRPr="0038711B">
        <w:rPr>
          <w:rStyle w:val="lev"/>
          <w:rFonts w:cs="Arial"/>
          <w:szCs w:val="20"/>
        </w:rPr>
        <w:t>ne cause</w:t>
      </w:r>
      <w:r w:rsidRPr="0038711B">
        <w:rPr>
          <w:szCs w:val="20"/>
        </w:rPr>
        <w:t xml:space="preserve"> : </w:t>
      </w:r>
      <w:r>
        <w:rPr>
          <w:szCs w:val="20"/>
        </w:rPr>
        <w:t>c</w:t>
      </w:r>
      <w:r w:rsidRPr="0038711B">
        <w:rPr>
          <w:szCs w:val="20"/>
        </w:rPr>
        <w:t xml:space="preserve">’est la raison </w:t>
      </w:r>
      <w:r w:rsidRPr="0038711B">
        <w:rPr>
          <w:rFonts w:cs="Arial"/>
          <w:szCs w:val="20"/>
        </w:rPr>
        <w:t>pour laquelle le contrat est signé</w:t>
      </w:r>
      <w:r w:rsidRPr="0038711B">
        <w:rPr>
          <w:szCs w:val="20"/>
        </w:rPr>
        <w:t xml:space="preserve">. Elle doit être également licite. Dans un contrat de vente, le vendeur s’engage à remettre </w:t>
      </w:r>
      <w:r>
        <w:rPr>
          <w:szCs w:val="20"/>
        </w:rPr>
        <w:t>l’objet et</w:t>
      </w:r>
      <w:r w:rsidRPr="0038711B">
        <w:rPr>
          <w:szCs w:val="20"/>
        </w:rPr>
        <w:t xml:space="preserve"> l'acheteur à verser le prix d’achat, en échange du transfert de propriété.</w:t>
      </w:r>
    </w:p>
    <w:p w14:paraId="537DDFEE" w14:textId="77777777" w:rsidR="00372EF1" w:rsidRPr="0038711B" w:rsidRDefault="00372EF1" w:rsidP="00372EF1">
      <w:pPr>
        <w:pStyle w:val="Titre3"/>
        <w:spacing w:before="120"/>
        <w:rPr>
          <w:b w:val="0"/>
          <w:sz w:val="20"/>
        </w:rPr>
      </w:pPr>
      <w:r w:rsidRPr="0038711B">
        <w:rPr>
          <w:color w:val="auto"/>
          <w:sz w:val="20"/>
        </w:rPr>
        <w:t>Les clauses d'un contrat commercial </w:t>
      </w:r>
      <w:r w:rsidRPr="0038711B">
        <w:rPr>
          <w:b w:val="0"/>
          <w:sz w:val="20"/>
        </w:rPr>
        <w:t>dépendent de la nature du contrat</w:t>
      </w:r>
      <w:r>
        <w:rPr>
          <w:b w:val="0"/>
          <w:sz w:val="20"/>
        </w:rPr>
        <w:t xml:space="preserve"> et concerne :</w:t>
      </w:r>
    </w:p>
    <w:p w14:paraId="1F048FC5" w14:textId="77777777" w:rsidR="00372EF1" w:rsidRPr="0038711B" w:rsidRDefault="00372EF1" w:rsidP="00372EF1">
      <w:pPr>
        <w:pStyle w:val="Paragraphedeliste"/>
        <w:numPr>
          <w:ilvl w:val="0"/>
          <w:numId w:val="2"/>
        </w:numPr>
        <w:spacing w:before="120"/>
        <w:rPr>
          <w:rFonts w:cs="Arial"/>
          <w:szCs w:val="20"/>
        </w:rPr>
      </w:pPr>
      <w:r w:rsidRPr="0038711B">
        <w:rPr>
          <w:rFonts w:cs="Arial"/>
          <w:szCs w:val="20"/>
        </w:rPr>
        <w:t>l'objet du contrat,</w:t>
      </w:r>
    </w:p>
    <w:p w14:paraId="0D0C3809" w14:textId="77777777" w:rsidR="00372EF1" w:rsidRPr="0038711B" w:rsidRDefault="00372EF1" w:rsidP="00372EF1">
      <w:pPr>
        <w:pStyle w:val="Paragraphedeliste"/>
        <w:numPr>
          <w:ilvl w:val="0"/>
          <w:numId w:val="2"/>
        </w:numPr>
        <w:spacing w:before="120"/>
        <w:rPr>
          <w:rFonts w:cs="Arial"/>
          <w:szCs w:val="20"/>
        </w:rPr>
      </w:pPr>
      <w:r w:rsidRPr="0038711B">
        <w:rPr>
          <w:rFonts w:cs="Arial"/>
          <w:szCs w:val="20"/>
        </w:rPr>
        <w:t>les dates de validité,</w:t>
      </w:r>
    </w:p>
    <w:p w14:paraId="28CE5EFA" w14:textId="77777777" w:rsidR="00372EF1" w:rsidRPr="0038711B" w:rsidRDefault="00372EF1" w:rsidP="00372EF1">
      <w:pPr>
        <w:pStyle w:val="Paragraphedeliste"/>
        <w:numPr>
          <w:ilvl w:val="0"/>
          <w:numId w:val="2"/>
        </w:numPr>
        <w:spacing w:before="120"/>
        <w:rPr>
          <w:rFonts w:cs="Arial"/>
          <w:szCs w:val="20"/>
        </w:rPr>
      </w:pPr>
      <w:r w:rsidRPr="0038711B">
        <w:rPr>
          <w:rFonts w:cs="Arial"/>
          <w:szCs w:val="20"/>
        </w:rPr>
        <w:t>les conditions de renouvellement,</w:t>
      </w:r>
    </w:p>
    <w:p w14:paraId="101E6F05" w14:textId="77777777" w:rsidR="00372EF1" w:rsidRPr="0038711B" w:rsidRDefault="00372EF1" w:rsidP="00372EF1">
      <w:pPr>
        <w:pStyle w:val="Paragraphedeliste"/>
        <w:numPr>
          <w:ilvl w:val="0"/>
          <w:numId w:val="2"/>
        </w:numPr>
        <w:spacing w:before="120"/>
        <w:rPr>
          <w:rFonts w:cs="Arial"/>
          <w:szCs w:val="20"/>
        </w:rPr>
      </w:pPr>
      <w:r w:rsidRPr="0038711B">
        <w:rPr>
          <w:rFonts w:cs="Arial"/>
          <w:szCs w:val="20"/>
        </w:rPr>
        <w:t>les prix et modalités de révision,</w:t>
      </w:r>
    </w:p>
    <w:p w14:paraId="7A95D041" w14:textId="77777777" w:rsidR="00372EF1" w:rsidRPr="0038711B" w:rsidRDefault="00372EF1" w:rsidP="00372EF1">
      <w:pPr>
        <w:pStyle w:val="Paragraphedeliste"/>
        <w:numPr>
          <w:ilvl w:val="0"/>
          <w:numId w:val="2"/>
        </w:num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les </w:t>
      </w:r>
      <w:r w:rsidRPr="0038711B">
        <w:rPr>
          <w:rFonts w:cs="Arial"/>
          <w:szCs w:val="20"/>
        </w:rPr>
        <w:t>conditions de règlement,</w:t>
      </w:r>
    </w:p>
    <w:p w14:paraId="60634BB7" w14:textId="77777777" w:rsidR="00372EF1" w:rsidRPr="0038711B" w:rsidRDefault="00372EF1" w:rsidP="00372EF1">
      <w:pPr>
        <w:pStyle w:val="Paragraphedeliste"/>
        <w:numPr>
          <w:ilvl w:val="0"/>
          <w:numId w:val="2"/>
        </w:num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la </w:t>
      </w:r>
      <w:r w:rsidRPr="0038711B">
        <w:rPr>
          <w:rFonts w:cs="Arial"/>
          <w:szCs w:val="20"/>
        </w:rPr>
        <w:t>limitation de responsabilité,</w:t>
      </w:r>
    </w:p>
    <w:p w14:paraId="5C5CA04B" w14:textId="77777777" w:rsidR="00372EF1" w:rsidRPr="0038711B" w:rsidRDefault="00372EF1" w:rsidP="00372EF1">
      <w:pPr>
        <w:pStyle w:val="Paragraphedeliste"/>
        <w:numPr>
          <w:ilvl w:val="0"/>
          <w:numId w:val="2"/>
        </w:numPr>
        <w:spacing w:before="120"/>
        <w:rPr>
          <w:rFonts w:cs="Arial"/>
          <w:szCs w:val="20"/>
        </w:rPr>
      </w:pPr>
      <w:r w:rsidRPr="0038711B">
        <w:rPr>
          <w:rFonts w:cs="Arial"/>
          <w:szCs w:val="20"/>
        </w:rPr>
        <w:t>les garanties contractuelles,</w:t>
      </w:r>
    </w:p>
    <w:p w14:paraId="687E3DE7" w14:textId="77777777" w:rsidR="00372EF1" w:rsidRPr="0038711B" w:rsidRDefault="00372EF1" w:rsidP="00372EF1">
      <w:pPr>
        <w:pStyle w:val="Paragraphedeliste"/>
        <w:numPr>
          <w:ilvl w:val="0"/>
          <w:numId w:val="2"/>
        </w:numPr>
        <w:spacing w:before="120"/>
        <w:rPr>
          <w:rFonts w:cs="Arial"/>
          <w:szCs w:val="20"/>
        </w:rPr>
      </w:pPr>
      <w:r w:rsidRPr="0038711B">
        <w:rPr>
          <w:rFonts w:cs="Arial"/>
          <w:szCs w:val="20"/>
        </w:rPr>
        <w:t>…</w:t>
      </w:r>
    </w:p>
    <w:p w14:paraId="4E19ACE5" w14:textId="77777777" w:rsidR="00372EF1" w:rsidRPr="0038711B" w:rsidRDefault="00372EF1" w:rsidP="00372EF1">
      <w:pPr>
        <w:pStyle w:val="Titre3"/>
        <w:spacing w:before="120"/>
        <w:rPr>
          <w:sz w:val="20"/>
        </w:rPr>
      </w:pPr>
      <w:r w:rsidRPr="0038711B">
        <w:rPr>
          <w:sz w:val="20"/>
        </w:rPr>
        <w:t>Les conditions de vente</w:t>
      </w:r>
    </w:p>
    <w:p w14:paraId="4A0AAF33" w14:textId="77777777" w:rsidR="00372EF1" w:rsidRPr="0038711B" w:rsidRDefault="00372EF1" w:rsidP="00372EF1">
      <w:pPr>
        <w:spacing w:before="120"/>
        <w:rPr>
          <w:rStyle w:val="lev"/>
          <w:rFonts w:cs="Arial"/>
          <w:b w:val="0"/>
          <w:szCs w:val="20"/>
        </w:rPr>
      </w:pPr>
      <w:r>
        <w:rPr>
          <w:rStyle w:val="lev"/>
          <w:rFonts w:cs="Arial"/>
          <w:szCs w:val="20"/>
        </w:rPr>
        <w:t>Elles récapitulent</w:t>
      </w:r>
      <w:r w:rsidRPr="0038711B">
        <w:rPr>
          <w:rStyle w:val="lev"/>
          <w:rFonts w:cs="Arial"/>
          <w:szCs w:val="20"/>
        </w:rPr>
        <w:t xml:space="preserve"> les droits, les obligations et les conditions particulières attachés au contrat :</w:t>
      </w:r>
    </w:p>
    <w:p w14:paraId="16F0017C" w14:textId="77777777" w:rsidR="00372EF1" w:rsidRPr="0038711B" w:rsidRDefault="00372EF1" w:rsidP="00372EF1">
      <w:pPr>
        <w:pStyle w:val="Paragraphedeliste"/>
        <w:numPr>
          <w:ilvl w:val="0"/>
          <w:numId w:val="2"/>
        </w:numPr>
        <w:rPr>
          <w:szCs w:val="20"/>
        </w:rPr>
      </w:pPr>
      <w:r w:rsidRPr="0038711B">
        <w:rPr>
          <w:szCs w:val="20"/>
        </w:rPr>
        <w:t xml:space="preserve">les modalités de paiement : </w:t>
      </w:r>
      <w:r w:rsidRPr="0038711B">
        <w:rPr>
          <w:rStyle w:val="lev"/>
          <w:rFonts w:cs="Arial"/>
          <w:szCs w:val="20"/>
        </w:rPr>
        <w:t>délais de paiement</w:t>
      </w:r>
      <w:r w:rsidRPr="0038711B">
        <w:rPr>
          <w:b/>
          <w:szCs w:val="20"/>
        </w:rPr>
        <w:t>,</w:t>
      </w:r>
      <w:r w:rsidRPr="0038711B">
        <w:rPr>
          <w:szCs w:val="20"/>
        </w:rPr>
        <w:t xml:space="preserve"> dépôts de garantie, arrhes et acompte</w:t>
      </w:r>
      <w:r>
        <w:rPr>
          <w:szCs w:val="20"/>
        </w:rPr>
        <w:t>s ;</w:t>
      </w:r>
    </w:p>
    <w:p w14:paraId="1075B03E" w14:textId="77777777" w:rsidR="00372EF1" w:rsidRPr="0038711B" w:rsidRDefault="00372EF1" w:rsidP="00372EF1">
      <w:pPr>
        <w:pStyle w:val="Paragraphedeliste"/>
        <w:numPr>
          <w:ilvl w:val="0"/>
          <w:numId w:val="2"/>
        </w:numPr>
        <w:rPr>
          <w:szCs w:val="20"/>
        </w:rPr>
      </w:pPr>
      <w:r w:rsidRPr="0038711B">
        <w:rPr>
          <w:szCs w:val="20"/>
        </w:rPr>
        <w:t>les modalités de livraison : délais, lieu</w:t>
      </w:r>
      <w:r>
        <w:rPr>
          <w:szCs w:val="20"/>
        </w:rPr>
        <w:t>, etc. ;</w:t>
      </w:r>
    </w:p>
    <w:p w14:paraId="0DF6E4DC" w14:textId="77777777" w:rsidR="00372EF1" w:rsidRPr="0038711B" w:rsidRDefault="00372EF1" w:rsidP="00372EF1">
      <w:pPr>
        <w:pStyle w:val="Paragraphedeliste"/>
        <w:numPr>
          <w:ilvl w:val="0"/>
          <w:numId w:val="2"/>
        </w:numPr>
        <w:rPr>
          <w:szCs w:val="20"/>
        </w:rPr>
      </w:pPr>
      <w:r w:rsidRPr="0038711B">
        <w:rPr>
          <w:szCs w:val="20"/>
        </w:rPr>
        <w:t>les pénalités de retard</w:t>
      </w:r>
      <w:r>
        <w:rPr>
          <w:szCs w:val="20"/>
        </w:rPr>
        <w:t> ;</w:t>
      </w:r>
    </w:p>
    <w:p w14:paraId="53B69773" w14:textId="77777777" w:rsidR="00372EF1" w:rsidRPr="0038711B" w:rsidRDefault="00372EF1" w:rsidP="00372EF1">
      <w:pPr>
        <w:pStyle w:val="Paragraphedeliste"/>
        <w:numPr>
          <w:ilvl w:val="0"/>
          <w:numId w:val="2"/>
        </w:numPr>
        <w:rPr>
          <w:szCs w:val="20"/>
        </w:rPr>
      </w:pPr>
      <w:r w:rsidRPr="0038711B">
        <w:rPr>
          <w:szCs w:val="20"/>
        </w:rPr>
        <w:t>les clauses pénales applicables en cas d'annulation de contrat ou de litige</w:t>
      </w:r>
      <w:r>
        <w:rPr>
          <w:szCs w:val="20"/>
        </w:rPr>
        <w:t> ;</w:t>
      </w:r>
    </w:p>
    <w:p w14:paraId="1EDCF437" w14:textId="77777777" w:rsidR="00372EF1" w:rsidRPr="0038711B" w:rsidRDefault="00372EF1" w:rsidP="00372EF1">
      <w:pPr>
        <w:pStyle w:val="Paragraphedeliste"/>
        <w:numPr>
          <w:ilvl w:val="0"/>
          <w:numId w:val="2"/>
        </w:numPr>
        <w:rPr>
          <w:szCs w:val="20"/>
        </w:rPr>
      </w:pPr>
      <w:r w:rsidRPr="0038711B">
        <w:rPr>
          <w:szCs w:val="20"/>
        </w:rPr>
        <w:t xml:space="preserve">les limites de responsabilité professionnelle en cas de défaut, de retard d'exécution, de vol, d’échanges et de remboursement, </w:t>
      </w:r>
      <w:r>
        <w:rPr>
          <w:szCs w:val="20"/>
        </w:rPr>
        <w:t xml:space="preserve">les </w:t>
      </w:r>
      <w:r w:rsidRPr="0038711B">
        <w:rPr>
          <w:szCs w:val="20"/>
        </w:rPr>
        <w:t>garanties commerciales</w:t>
      </w:r>
      <w:r>
        <w:rPr>
          <w:szCs w:val="20"/>
        </w:rPr>
        <w:t>, etc. ;</w:t>
      </w:r>
    </w:p>
    <w:p w14:paraId="1D91A8DD" w14:textId="77777777" w:rsidR="00372EF1" w:rsidRPr="0038711B" w:rsidRDefault="00372EF1" w:rsidP="00372EF1">
      <w:pPr>
        <w:pStyle w:val="Paragraphedeliste"/>
        <w:numPr>
          <w:ilvl w:val="0"/>
          <w:numId w:val="2"/>
        </w:numPr>
        <w:rPr>
          <w:szCs w:val="20"/>
        </w:rPr>
      </w:pPr>
      <w:r w:rsidRPr="0038711B">
        <w:rPr>
          <w:szCs w:val="20"/>
        </w:rPr>
        <w:t>les conditions de renouvellement du contrat</w:t>
      </w:r>
      <w:r>
        <w:rPr>
          <w:szCs w:val="20"/>
        </w:rPr>
        <w:t>.</w:t>
      </w:r>
    </w:p>
    <w:p w14:paraId="7807F9AD" w14:textId="77777777" w:rsidR="00372EF1" w:rsidRPr="003B60F2" w:rsidRDefault="00372EF1" w:rsidP="00372EF1">
      <w:pPr>
        <w:rPr>
          <w:rFonts w:cs="Arial"/>
          <w:b/>
          <w:sz w:val="24"/>
          <w:lang w:eastAsia="fr-FR"/>
        </w:rPr>
      </w:pPr>
    </w:p>
    <w:p w14:paraId="6502686B" w14:textId="77777777" w:rsidR="00372EF1" w:rsidRDefault="00372EF1" w:rsidP="00372EF1">
      <w:pPr>
        <w:rPr>
          <w:rFonts w:cs="Arial"/>
          <w:color w:val="000000"/>
          <w:szCs w:val="20"/>
        </w:rPr>
      </w:pPr>
    </w:p>
    <w:p w14:paraId="286CB367" w14:textId="77777777" w:rsidR="00372EF1" w:rsidRDefault="00372EF1" w:rsidP="00372EF1">
      <w:pPr>
        <w:rPr>
          <w:rFonts w:cs="Arial"/>
          <w:color w:val="000000"/>
          <w:szCs w:val="20"/>
        </w:rPr>
      </w:pPr>
    </w:p>
    <w:p w14:paraId="27824718" w14:textId="77777777" w:rsidR="00B06BB0" w:rsidRDefault="00B06BB0" w:rsidP="00B06BB0">
      <w:pPr>
        <w:rPr>
          <w:rFonts w:cs="Arial"/>
          <w:b/>
          <w:sz w:val="24"/>
          <w:lang w:eastAsia="fr-FR"/>
        </w:rPr>
      </w:pPr>
    </w:p>
    <w:p w14:paraId="761E095D" w14:textId="7ED6B6AF" w:rsidR="00B06BB0" w:rsidRDefault="00372EF1" w:rsidP="00B06BB0">
      <w:pPr>
        <w:pStyle w:val="tacheseurasment"/>
        <w:rPr>
          <w:rFonts w:cs="Arial"/>
          <w:b/>
          <w:color w:val="000000"/>
          <w:sz w:val="28"/>
          <w:szCs w:val="20"/>
        </w:rPr>
      </w:pPr>
      <w:r>
        <w:rPr>
          <w:rFonts w:cs="Arial"/>
          <w:b/>
          <w:color w:val="000000"/>
          <w:sz w:val="28"/>
          <w:szCs w:val="20"/>
        </w:rPr>
        <w:lastRenderedPageBreak/>
        <w:t>Réponses</w:t>
      </w:r>
      <w:r w:rsidR="00B06BB0" w:rsidRPr="00B06BB0">
        <w:rPr>
          <w:rFonts w:cs="Arial"/>
          <w:b/>
          <w:color w:val="000000"/>
          <w:sz w:val="28"/>
          <w:szCs w:val="20"/>
        </w:rPr>
        <w:t xml:space="preserve"> </w:t>
      </w:r>
    </w:p>
    <w:p w14:paraId="795A20AE" w14:textId="77777777" w:rsidR="00775B87" w:rsidRPr="00B06BB0" w:rsidRDefault="00775B87" w:rsidP="00372EF1">
      <w:pPr>
        <w:pStyle w:val="tacheseurasment"/>
        <w:rPr>
          <w:rFonts w:cs="Arial"/>
          <w:b/>
          <w:color w:val="000000"/>
          <w:sz w:val="28"/>
          <w:szCs w:val="20"/>
        </w:rPr>
      </w:pPr>
    </w:p>
    <w:p w14:paraId="11A4A2A2" w14:textId="77777777" w:rsidR="00B06BB0" w:rsidRPr="00B06BB0" w:rsidRDefault="00B06BB0" w:rsidP="00372EF1">
      <w:pPr>
        <w:pStyle w:val="tacheseurasment"/>
        <w:numPr>
          <w:ilvl w:val="0"/>
          <w:numId w:val="7"/>
        </w:numPr>
        <w:rPr>
          <w:rFonts w:cs="Arial"/>
          <w:b/>
          <w:color w:val="000000"/>
          <w:sz w:val="28"/>
          <w:szCs w:val="20"/>
        </w:rPr>
      </w:pPr>
      <w:r w:rsidRPr="00B06BB0">
        <w:rPr>
          <w:rFonts w:cs="Arial"/>
          <w:b/>
          <w:color w:val="000000"/>
          <w:sz w:val="28"/>
          <w:szCs w:val="20"/>
        </w:rPr>
        <w:t>Que signifie un consentement explicite ?</w:t>
      </w:r>
    </w:p>
    <w:p w14:paraId="73FFD839" w14:textId="77777777" w:rsidR="00B06BB0" w:rsidRPr="00B06BB0" w:rsidRDefault="00B06BB0" w:rsidP="00372EF1">
      <w:pPr>
        <w:pStyle w:val="tacheseurasment"/>
        <w:rPr>
          <w:rFonts w:cs="Arial"/>
          <w:b/>
          <w:color w:val="000000"/>
          <w:sz w:val="28"/>
          <w:szCs w:val="20"/>
        </w:rPr>
      </w:pPr>
    </w:p>
    <w:p w14:paraId="3916E577" w14:textId="77777777" w:rsidR="00B06BB0" w:rsidRPr="00B06BB0" w:rsidRDefault="00B06BB0" w:rsidP="00372EF1">
      <w:pPr>
        <w:pStyle w:val="tacheseurasment"/>
        <w:rPr>
          <w:rFonts w:cs="Arial"/>
          <w:b/>
          <w:color w:val="000000"/>
          <w:sz w:val="28"/>
          <w:szCs w:val="20"/>
        </w:rPr>
      </w:pPr>
    </w:p>
    <w:p w14:paraId="3E6DC94B" w14:textId="77777777" w:rsidR="00B06BB0" w:rsidRPr="00B06BB0" w:rsidRDefault="00B06BB0" w:rsidP="00372EF1">
      <w:pPr>
        <w:pStyle w:val="tacheseurasment"/>
        <w:numPr>
          <w:ilvl w:val="0"/>
          <w:numId w:val="7"/>
        </w:numPr>
        <w:rPr>
          <w:rFonts w:cs="Arial"/>
          <w:b/>
          <w:color w:val="000000"/>
          <w:sz w:val="28"/>
          <w:szCs w:val="20"/>
        </w:rPr>
      </w:pPr>
      <w:r w:rsidRPr="00B06BB0">
        <w:rPr>
          <w:rFonts w:cs="Arial"/>
          <w:b/>
          <w:color w:val="000000"/>
          <w:sz w:val="28"/>
          <w:szCs w:val="20"/>
        </w:rPr>
        <w:t>Pourquoi lors d’un achat en magasin un consentement implicite est admis ?</w:t>
      </w:r>
    </w:p>
    <w:p w14:paraId="14D00B87" w14:textId="77777777" w:rsidR="00B06BB0" w:rsidRPr="00B06BB0" w:rsidRDefault="00B06BB0" w:rsidP="00372EF1">
      <w:pPr>
        <w:pStyle w:val="tacheseurasment"/>
        <w:rPr>
          <w:rFonts w:cs="Arial"/>
          <w:b/>
          <w:color w:val="000000"/>
          <w:sz w:val="28"/>
          <w:szCs w:val="20"/>
        </w:rPr>
      </w:pPr>
    </w:p>
    <w:p w14:paraId="0C570640" w14:textId="40DB9814" w:rsidR="00B06BB0" w:rsidRPr="00B06BB0" w:rsidRDefault="00B06BB0" w:rsidP="00372EF1">
      <w:pPr>
        <w:pStyle w:val="tacheseurasment"/>
        <w:numPr>
          <w:ilvl w:val="0"/>
          <w:numId w:val="7"/>
        </w:numPr>
        <w:rPr>
          <w:rFonts w:cs="Arial"/>
          <w:b/>
          <w:color w:val="000000"/>
          <w:sz w:val="28"/>
          <w:szCs w:val="20"/>
        </w:rPr>
      </w:pPr>
      <w:r w:rsidRPr="00B06BB0">
        <w:rPr>
          <w:rFonts w:cs="Arial"/>
          <w:b/>
          <w:color w:val="000000"/>
          <w:sz w:val="28"/>
          <w:szCs w:val="20"/>
        </w:rPr>
        <w:t>Cite</w:t>
      </w:r>
      <w:r w:rsidR="00372EF1">
        <w:rPr>
          <w:rFonts w:cs="Arial"/>
          <w:b/>
          <w:color w:val="000000"/>
          <w:sz w:val="28"/>
          <w:szCs w:val="20"/>
        </w:rPr>
        <w:t>z</w:t>
      </w:r>
      <w:r w:rsidRPr="00B06BB0">
        <w:rPr>
          <w:rFonts w:cs="Arial"/>
          <w:b/>
          <w:color w:val="000000"/>
          <w:sz w:val="28"/>
          <w:szCs w:val="20"/>
        </w:rPr>
        <w:t xml:space="preserve"> des cas ou une personne n’a pas la capacité à contracter</w:t>
      </w:r>
      <w:r w:rsidR="00372EF1">
        <w:rPr>
          <w:rFonts w:cs="Arial"/>
          <w:b/>
          <w:color w:val="000000"/>
          <w:sz w:val="28"/>
          <w:szCs w:val="20"/>
        </w:rPr>
        <w:t>.</w:t>
      </w:r>
    </w:p>
    <w:p w14:paraId="01976E51" w14:textId="77777777" w:rsidR="00B06BB0" w:rsidRPr="00B06BB0" w:rsidRDefault="00B06BB0" w:rsidP="00372EF1">
      <w:pPr>
        <w:pStyle w:val="tacheseurasment"/>
        <w:ind w:left="720"/>
        <w:rPr>
          <w:rFonts w:cs="Arial"/>
          <w:b/>
          <w:color w:val="000000"/>
          <w:sz w:val="28"/>
          <w:szCs w:val="20"/>
        </w:rPr>
      </w:pPr>
    </w:p>
    <w:p w14:paraId="296FBB38" w14:textId="77777777" w:rsidR="00B06BB0" w:rsidRPr="00B06BB0" w:rsidRDefault="00B06BB0" w:rsidP="00372EF1">
      <w:pPr>
        <w:pStyle w:val="tacheseurasment"/>
        <w:rPr>
          <w:rFonts w:cs="Arial"/>
          <w:b/>
          <w:color w:val="000000"/>
          <w:sz w:val="28"/>
          <w:szCs w:val="20"/>
        </w:rPr>
      </w:pPr>
    </w:p>
    <w:p w14:paraId="3E6E2A1D" w14:textId="00726D66" w:rsidR="00B06BB0" w:rsidRPr="00B06BB0" w:rsidRDefault="00B06BB0" w:rsidP="00372EF1">
      <w:pPr>
        <w:pStyle w:val="tacheseurasment"/>
        <w:numPr>
          <w:ilvl w:val="0"/>
          <w:numId w:val="7"/>
        </w:numPr>
        <w:rPr>
          <w:rFonts w:cs="Arial"/>
          <w:b/>
          <w:color w:val="000000"/>
          <w:sz w:val="28"/>
          <w:szCs w:val="20"/>
        </w:rPr>
      </w:pPr>
      <w:r w:rsidRPr="00B06BB0">
        <w:rPr>
          <w:rFonts w:cs="Arial"/>
          <w:b/>
          <w:color w:val="000000"/>
          <w:sz w:val="28"/>
          <w:szCs w:val="20"/>
        </w:rPr>
        <w:t>Cite</w:t>
      </w:r>
      <w:r w:rsidR="00372EF1">
        <w:rPr>
          <w:rFonts w:cs="Arial"/>
          <w:b/>
          <w:color w:val="000000"/>
          <w:sz w:val="28"/>
          <w:szCs w:val="20"/>
        </w:rPr>
        <w:t>z</w:t>
      </w:r>
      <w:r w:rsidRPr="00B06BB0">
        <w:rPr>
          <w:rFonts w:cs="Arial"/>
          <w:b/>
          <w:color w:val="000000"/>
          <w:sz w:val="28"/>
          <w:szCs w:val="20"/>
        </w:rPr>
        <w:t xml:space="preserve"> des cas d’objets illicites, de causes illicites</w:t>
      </w:r>
      <w:r w:rsidR="00372EF1">
        <w:rPr>
          <w:rFonts w:cs="Arial"/>
          <w:b/>
          <w:color w:val="000000"/>
          <w:sz w:val="28"/>
          <w:szCs w:val="20"/>
        </w:rPr>
        <w:t>.</w:t>
      </w:r>
    </w:p>
    <w:p w14:paraId="2352668D" w14:textId="77777777" w:rsidR="00B06BB0" w:rsidRPr="00B06BB0" w:rsidRDefault="00B06BB0" w:rsidP="00372EF1">
      <w:pPr>
        <w:pStyle w:val="tacheseurasment"/>
        <w:ind w:left="360"/>
        <w:rPr>
          <w:rFonts w:cs="Arial"/>
          <w:b/>
          <w:color w:val="000000"/>
          <w:sz w:val="28"/>
          <w:szCs w:val="20"/>
        </w:rPr>
      </w:pPr>
    </w:p>
    <w:p w14:paraId="2B350072" w14:textId="77777777" w:rsidR="00B06BB0" w:rsidRPr="00B06BB0" w:rsidRDefault="00B06BB0" w:rsidP="00372EF1">
      <w:pPr>
        <w:pStyle w:val="tacheseurasment"/>
        <w:ind w:left="360"/>
        <w:rPr>
          <w:rFonts w:cs="Arial"/>
          <w:b/>
          <w:color w:val="000000"/>
          <w:sz w:val="28"/>
          <w:szCs w:val="20"/>
        </w:rPr>
      </w:pPr>
    </w:p>
    <w:p w14:paraId="2B5EEB5C" w14:textId="77777777" w:rsidR="00B06BB0" w:rsidRPr="00B06BB0" w:rsidRDefault="00B06BB0" w:rsidP="00372EF1">
      <w:pPr>
        <w:pStyle w:val="tacheseurasment"/>
        <w:numPr>
          <w:ilvl w:val="0"/>
          <w:numId w:val="7"/>
        </w:numPr>
        <w:rPr>
          <w:rFonts w:cs="Arial"/>
          <w:b/>
          <w:color w:val="000000"/>
          <w:sz w:val="28"/>
          <w:szCs w:val="20"/>
        </w:rPr>
      </w:pPr>
      <w:r w:rsidRPr="00B06BB0">
        <w:rPr>
          <w:rFonts w:cs="Arial"/>
          <w:b/>
          <w:color w:val="000000"/>
          <w:sz w:val="28"/>
          <w:szCs w:val="20"/>
        </w:rPr>
        <w:t>Quelle est l’utilité de fixer des dates de validité du contrat ?</w:t>
      </w:r>
    </w:p>
    <w:p w14:paraId="7377E902" w14:textId="77777777" w:rsidR="00B06BB0" w:rsidRPr="00B06BB0" w:rsidRDefault="00B06BB0" w:rsidP="00372EF1">
      <w:pPr>
        <w:pStyle w:val="Paragraphedeliste"/>
        <w:rPr>
          <w:rFonts w:cs="Arial"/>
          <w:b/>
          <w:color w:val="000000"/>
          <w:sz w:val="28"/>
          <w:szCs w:val="20"/>
        </w:rPr>
      </w:pPr>
    </w:p>
    <w:p w14:paraId="5A32E198" w14:textId="77777777" w:rsidR="00B06BB0" w:rsidRPr="00B06BB0" w:rsidRDefault="00B06BB0" w:rsidP="00372EF1">
      <w:pPr>
        <w:pStyle w:val="tacheseurasment"/>
        <w:ind w:left="720"/>
        <w:rPr>
          <w:rFonts w:cs="Arial"/>
          <w:b/>
          <w:color w:val="000000"/>
          <w:sz w:val="28"/>
          <w:szCs w:val="20"/>
        </w:rPr>
      </w:pPr>
    </w:p>
    <w:p w14:paraId="6D056566" w14:textId="75A97174" w:rsidR="00B06BB0" w:rsidRPr="00B06BB0" w:rsidRDefault="00B06BB0" w:rsidP="00372EF1">
      <w:pPr>
        <w:pStyle w:val="tacheseurasment"/>
        <w:numPr>
          <w:ilvl w:val="0"/>
          <w:numId w:val="7"/>
        </w:numPr>
        <w:rPr>
          <w:rFonts w:cs="Arial"/>
          <w:b/>
          <w:color w:val="000000"/>
          <w:sz w:val="28"/>
          <w:szCs w:val="20"/>
        </w:rPr>
      </w:pPr>
      <w:r w:rsidRPr="00B06BB0">
        <w:rPr>
          <w:rFonts w:cs="Arial"/>
          <w:b/>
          <w:color w:val="000000"/>
          <w:sz w:val="28"/>
          <w:szCs w:val="20"/>
        </w:rPr>
        <w:t>Cite</w:t>
      </w:r>
      <w:r w:rsidR="00372EF1">
        <w:rPr>
          <w:rFonts w:cs="Arial"/>
          <w:b/>
          <w:color w:val="000000"/>
          <w:sz w:val="28"/>
          <w:szCs w:val="20"/>
        </w:rPr>
        <w:t>z</w:t>
      </w:r>
      <w:r w:rsidRPr="00B06BB0">
        <w:rPr>
          <w:rFonts w:cs="Arial"/>
          <w:b/>
          <w:color w:val="000000"/>
          <w:sz w:val="28"/>
          <w:szCs w:val="20"/>
        </w:rPr>
        <w:t xml:space="preserve"> des conditions de limitation de responsabilité ou de garantie</w:t>
      </w:r>
      <w:r w:rsidR="00372EF1">
        <w:rPr>
          <w:rFonts w:cs="Arial"/>
          <w:b/>
          <w:color w:val="000000"/>
          <w:sz w:val="28"/>
          <w:szCs w:val="20"/>
        </w:rPr>
        <w:t>.</w:t>
      </w:r>
    </w:p>
    <w:p w14:paraId="030FEA73" w14:textId="77777777" w:rsidR="00B06BB0" w:rsidRPr="00B06BB0" w:rsidRDefault="00B06BB0" w:rsidP="00372EF1">
      <w:pPr>
        <w:pStyle w:val="tacheseurasment"/>
        <w:ind w:left="720"/>
        <w:rPr>
          <w:rFonts w:cs="Arial"/>
          <w:b/>
          <w:color w:val="000000"/>
          <w:sz w:val="28"/>
          <w:szCs w:val="20"/>
        </w:rPr>
      </w:pPr>
    </w:p>
    <w:p w14:paraId="14A202F0" w14:textId="77777777" w:rsidR="00B06BB0" w:rsidRPr="00B06BB0" w:rsidRDefault="00B06BB0" w:rsidP="00372EF1">
      <w:pPr>
        <w:pStyle w:val="tacheseurasment"/>
        <w:ind w:left="720"/>
        <w:rPr>
          <w:rFonts w:cs="Arial"/>
          <w:b/>
          <w:color w:val="000000"/>
          <w:sz w:val="28"/>
          <w:szCs w:val="20"/>
        </w:rPr>
      </w:pPr>
    </w:p>
    <w:p w14:paraId="26577DC5" w14:textId="77777777" w:rsidR="00B06BB0" w:rsidRPr="00B06BB0" w:rsidRDefault="00B06BB0" w:rsidP="00372EF1">
      <w:pPr>
        <w:pStyle w:val="tacheseurasment"/>
        <w:numPr>
          <w:ilvl w:val="0"/>
          <w:numId w:val="7"/>
        </w:numPr>
        <w:rPr>
          <w:rFonts w:cs="Arial"/>
          <w:b/>
          <w:color w:val="000000"/>
          <w:sz w:val="28"/>
          <w:szCs w:val="20"/>
        </w:rPr>
      </w:pPr>
      <w:r w:rsidRPr="00B06BB0">
        <w:rPr>
          <w:rFonts w:cs="Arial"/>
          <w:b/>
          <w:color w:val="000000"/>
          <w:sz w:val="28"/>
          <w:szCs w:val="20"/>
        </w:rPr>
        <w:t>Pourquoi préciser les modalités de livraison ?</w:t>
      </w:r>
    </w:p>
    <w:p w14:paraId="0580AB1D" w14:textId="77777777" w:rsidR="00B06BB0" w:rsidRPr="00B06BB0" w:rsidRDefault="00B06BB0" w:rsidP="00372EF1">
      <w:pPr>
        <w:pStyle w:val="Paragraphedeliste"/>
        <w:rPr>
          <w:rFonts w:cs="Arial"/>
          <w:b/>
          <w:color w:val="000000"/>
          <w:sz w:val="28"/>
          <w:szCs w:val="20"/>
        </w:rPr>
      </w:pPr>
    </w:p>
    <w:p w14:paraId="34312205" w14:textId="77777777" w:rsidR="00B06BB0" w:rsidRPr="00B06BB0" w:rsidRDefault="00B06BB0" w:rsidP="00372EF1">
      <w:pPr>
        <w:pStyle w:val="tacheseurasment"/>
        <w:ind w:left="720"/>
        <w:rPr>
          <w:rFonts w:cs="Arial"/>
          <w:b/>
          <w:color w:val="000000"/>
          <w:sz w:val="28"/>
          <w:szCs w:val="20"/>
        </w:rPr>
      </w:pPr>
    </w:p>
    <w:p w14:paraId="5BF2F348" w14:textId="77777777" w:rsidR="00B06BB0" w:rsidRPr="00B06BB0" w:rsidRDefault="00B06BB0" w:rsidP="00372EF1">
      <w:pPr>
        <w:pStyle w:val="tacheseurasment"/>
        <w:numPr>
          <w:ilvl w:val="0"/>
          <w:numId w:val="7"/>
        </w:numPr>
        <w:rPr>
          <w:rFonts w:cs="Arial"/>
          <w:b/>
          <w:color w:val="000000"/>
          <w:sz w:val="28"/>
          <w:szCs w:val="20"/>
        </w:rPr>
      </w:pPr>
      <w:r w:rsidRPr="00B06BB0">
        <w:rPr>
          <w:rFonts w:cs="Arial"/>
          <w:b/>
          <w:color w:val="000000"/>
          <w:sz w:val="28"/>
          <w:szCs w:val="20"/>
        </w:rPr>
        <w:t>Pourquoi préciser les clauses pénales applicables en cas d’annulation de contrat ?</w:t>
      </w:r>
    </w:p>
    <w:p w14:paraId="126BE65A" w14:textId="77777777" w:rsidR="00B06BB0" w:rsidRPr="00B06BB0" w:rsidRDefault="00B06BB0" w:rsidP="00B06BB0">
      <w:pPr>
        <w:pStyle w:val="tacheseurasment"/>
        <w:ind w:left="720"/>
        <w:rPr>
          <w:rFonts w:cs="Arial"/>
          <w:b/>
          <w:color w:val="000000"/>
          <w:sz w:val="28"/>
          <w:szCs w:val="20"/>
          <w:highlight w:val="yellow"/>
        </w:rPr>
      </w:pPr>
    </w:p>
    <w:p w14:paraId="5070D253" w14:textId="77777777" w:rsidR="00B06BB0" w:rsidRPr="00B06BB0" w:rsidRDefault="00B06BB0" w:rsidP="00B06BB0">
      <w:pPr>
        <w:pStyle w:val="tacheseurasment"/>
        <w:rPr>
          <w:rFonts w:cs="Arial"/>
          <w:b/>
          <w:color w:val="000000"/>
          <w:sz w:val="28"/>
          <w:szCs w:val="20"/>
          <w:highlight w:val="yellow"/>
        </w:rPr>
      </w:pPr>
    </w:p>
    <w:p w14:paraId="1341ACDF" w14:textId="77777777" w:rsidR="00B06BB0" w:rsidRPr="00B06BB0" w:rsidRDefault="00B06BB0" w:rsidP="00B06BB0">
      <w:pPr>
        <w:pStyle w:val="tacheseurasment"/>
        <w:rPr>
          <w:rFonts w:cs="Arial"/>
          <w:b/>
          <w:color w:val="000000"/>
          <w:sz w:val="28"/>
          <w:szCs w:val="20"/>
        </w:rPr>
      </w:pPr>
    </w:p>
    <w:p w14:paraId="59919E02" w14:textId="77777777" w:rsidR="00B06BB0" w:rsidRPr="00B06BB0" w:rsidRDefault="00B06BB0" w:rsidP="00B06BB0">
      <w:pPr>
        <w:pStyle w:val="tacheseurasment"/>
        <w:rPr>
          <w:rFonts w:cs="Arial"/>
          <w:color w:val="000000"/>
          <w:sz w:val="24"/>
          <w:szCs w:val="20"/>
        </w:rPr>
      </w:pPr>
    </w:p>
    <w:p w14:paraId="42679901" w14:textId="77777777" w:rsidR="00B06BB0" w:rsidRDefault="00B06BB0" w:rsidP="00B06BB0">
      <w:pPr>
        <w:pStyle w:val="tacheseurasment"/>
        <w:rPr>
          <w:rFonts w:cs="Arial"/>
          <w:color w:val="000000"/>
          <w:szCs w:val="20"/>
        </w:rPr>
      </w:pPr>
    </w:p>
    <w:p w14:paraId="1B6592E2" w14:textId="77777777" w:rsidR="00B06BB0" w:rsidRDefault="00B06BB0" w:rsidP="00B06BB0">
      <w:pPr>
        <w:pStyle w:val="tacheseurasment"/>
        <w:rPr>
          <w:rFonts w:cs="Arial"/>
          <w:color w:val="000000"/>
          <w:szCs w:val="20"/>
        </w:rPr>
      </w:pPr>
    </w:p>
    <w:p w14:paraId="22C0A193" w14:textId="77777777" w:rsidR="00B06BB0" w:rsidRDefault="00B06BB0" w:rsidP="00B06BB0">
      <w:pPr>
        <w:pStyle w:val="tacheseurasment"/>
        <w:rPr>
          <w:rFonts w:cs="Arial"/>
          <w:color w:val="000000"/>
          <w:szCs w:val="20"/>
        </w:rPr>
      </w:pPr>
    </w:p>
    <w:p w14:paraId="53034417" w14:textId="77777777" w:rsidR="00BF37FA" w:rsidRDefault="00BF37FA"/>
    <w:sectPr w:rsidR="00BF37FA" w:rsidSect="00372EF1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77"/>
    <w:multiLevelType w:val="hybridMultilevel"/>
    <w:tmpl w:val="06869486"/>
    <w:lvl w:ilvl="0" w:tplc="220445C4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57318"/>
    <w:multiLevelType w:val="hybridMultilevel"/>
    <w:tmpl w:val="542EFCF6"/>
    <w:lvl w:ilvl="0" w:tplc="93E64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3291"/>
    <w:multiLevelType w:val="hybridMultilevel"/>
    <w:tmpl w:val="5936E4CE"/>
    <w:lvl w:ilvl="0" w:tplc="220445C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3065F"/>
    <w:multiLevelType w:val="hybridMultilevel"/>
    <w:tmpl w:val="441C6CFE"/>
    <w:lvl w:ilvl="0" w:tplc="220445C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606401"/>
    <w:multiLevelType w:val="hybridMultilevel"/>
    <w:tmpl w:val="AC80205A"/>
    <w:lvl w:ilvl="0" w:tplc="220445C4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B0732D"/>
    <w:multiLevelType w:val="hybridMultilevel"/>
    <w:tmpl w:val="B97C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92790">
    <w:abstractNumId w:val="1"/>
  </w:num>
  <w:num w:numId="2" w16cid:durableId="16931925">
    <w:abstractNumId w:val="0"/>
  </w:num>
  <w:num w:numId="3" w16cid:durableId="673999364">
    <w:abstractNumId w:val="5"/>
  </w:num>
  <w:num w:numId="4" w16cid:durableId="692924847">
    <w:abstractNumId w:val="6"/>
  </w:num>
  <w:num w:numId="5" w16cid:durableId="1548375713">
    <w:abstractNumId w:val="3"/>
  </w:num>
  <w:num w:numId="6" w16cid:durableId="150145803">
    <w:abstractNumId w:val="4"/>
  </w:num>
  <w:num w:numId="7" w16cid:durableId="16306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B0"/>
    <w:rsid w:val="00052593"/>
    <w:rsid w:val="00204475"/>
    <w:rsid w:val="00372EF1"/>
    <w:rsid w:val="00775B87"/>
    <w:rsid w:val="00944A38"/>
    <w:rsid w:val="00B06BB0"/>
    <w:rsid w:val="00BF37FA"/>
    <w:rsid w:val="00D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F5B7"/>
  <w15:chartTrackingRefBased/>
  <w15:docId w15:val="{988342A1-09B3-4011-9778-FEBCDBFD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B0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B06BB0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tacheseurasment"/>
    <w:next w:val="Normal"/>
    <w:link w:val="Titre3Car"/>
    <w:uiPriority w:val="9"/>
    <w:qFormat/>
    <w:rsid w:val="00B06BB0"/>
    <w:pPr>
      <w:numPr>
        <w:numId w:val="1"/>
      </w:numPr>
      <w:spacing w:after="120"/>
      <w:outlineLvl w:val="2"/>
    </w:pPr>
    <w:rPr>
      <w:rFonts w:cs="Arial"/>
      <w:b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6BB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06BB0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customStyle="1" w:styleId="tacheseurasment">
    <w:name w:val="taches eurasment"/>
    <w:basedOn w:val="Normal"/>
    <w:rsid w:val="00B06BB0"/>
    <w:rPr>
      <w:rFonts w:eastAsia="Times New Roman"/>
      <w:sz w:val="20"/>
      <w:szCs w:val="24"/>
      <w:lang w:eastAsia="fr-FR"/>
    </w:rPr>
  </w:style>
  <w:style w:type="character" w:styleId="lev">
    <w:name w:val="Strong"/>
    <w:aliases w:val="a texte"/>
    <w:uiPriority w:val="22"/>
    <w:qFormat/>
    <w:rsid w:val="00B06BB0"/>
    <w:rPr>
      <w:b/>
      <w:bCs/>
    </w:rPr>
  </w:style>
  <w:style w:type="paragraph" w:styleId="Paragraphedeliste">
    <w:name w:val="List Paragraph"/>
    <w:basedOn w:val="Normal"/>
    <w:uiPriority w:val="34"/>
    <w:qFormat/>
    <w:rsid w:val="00B0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2014-12-31T14:41:00Z</dcterms:created>
  <dcterms:modified xsi:type="dcterms:W3CDTF">2023-01-13T16:39:00Z</dcterms:modified>
</cp:coreProperties>
</file>