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439"/>
        <w:gridCol w:w="1031"/>
        <w:gridCol w:w="1176"/>
        <w:gridCol w:w="7"/>
      </w:tblGrid>
      <w:tr w:rsidR="0036268A" w:rsidRPr="00C22356" w14:paraId="1A09A3B0" w14:textId="77777777" w:rsidTr="00327698">
        <w:trPr>
          <w:gridAfter w:val="1"/>
          <w:wAfter w:w="7" w:type="dxa"/>
          <w:trHeight w:val="386"/>
        </w:trPr>
        <w:tc>
          <w:tcPr>
            <w:tcW w:w="7710" w:type="dxa"/>
            <w:gridSpan w:val="2"/>
            <w:shd w:val="clear" w:color="auto" w:fill="92D050"/>
            <w:vAlign w:val="center"/>
          </w:tcPr>
          <w:p w14:paraId="65EA453A" w14:textId="77777777" w:rsidR="0036268A" w:rsidRPr="00180796" w:rsidRDefault="0036268A" w:rsidP="00327698">
            <w:pPr>
              <w:pStyle w:val="Titre2"/>
              <w:spacing w:before="120"/>
              <w:jc w:val="center"/>
              <w:rPr>
                <w:szCs w:val="22"/>
              </w:rPr>
            </w:pPr>
            <w:bookmarkStart w:id="0" w:name="_Hlk526924685"/>
            <w:r w:rsidRPr="00180796">
              <w:rPr>
                <w:szCs w:val="22"/>
              </w:rPr>
              <w:t>Mission 5 - Étudier l’opportunité de sous-traiter</w:t>
            </w:r>
          </w:p>
        </w:tc>
        <w:tc>
          <w:tcPr>
            <w:tcW w:w="2207" w:type="dxa"/>
            <w:gridSpan w:val="2"/>
            <w:shd w:val="clear" w:color="auto" w:fill="92D050"/>
            <w:vAlign w:val="center"/>
          </w:tcPr>
          <w:p w14:paraId="676EA054" w14:textId="77777777" w:rsidR="0036268A" w:rsidRPr="00C22356" w:rsidRDefault="0036268A" w:rsidP="00327698">
            <w:pPr>
              <w:pStyle w:val="Titre2"/>
              <w:jc w:val="center"/>
            </w:pPr>
            <w:r>
              <w:rPr>
                <w:noProof/>
              </w:rPr>
              <w:drawing>
                <wp:inline distT="0" distB="0" distL="0" distR="0" wp14:anchorId="4390A538" wp14:editId="1F1F2AEA">
                  <wp:extent cx="1264285" cy="600075"/>
                  <wp:effectExtent l="0" t="0" r="0" b="9525"/>
                  <wp:docPr id="15" name="Image 15" descr="Capture d’éc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apture d’écran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68A" w:rsidRPr="00C22356" w14:paraId="2A33B324" w14:textId="77777777" w:rsidTr="00327698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7ED9635C" w14:textId="77777777" w:rsidR="0036268A" w:rsidRPr="006C7177" w:rsidRDefault="0036268A" w:rsidP="00327698">
            <w:r w:rsidRPr="006C7177">
              <w:t xml:space="preserve">Durée : </w:t>
            </w:r>
            <w:r>
              <w:t>30’</w:t>
            </w:r>
          </w:p>
        </w:tc>
        <w:tc>
          <w:tcPr>
            <w:tcW w:w="7470" w:type="dxa"/>
            <w:gridSpan w:val="2"/>
            <w:shd w:val="clear" w:color="auto" w:fill="92D050"/>
          </w:tcPr>
          <w:p w14:paraId="74C5CB1C" w14:textId="77777777" w:rsidR="0036268A" w:rsidRPr="006C7177" w:rsidRDefault="0036268A" w:rsidP="003276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BE171F" wp14:editId="5C89B802">
                  <wp:extent cx="288000" cy="288000"/>
                  <wp:effectExtent l="0" t="0" r="0" b="0"/>
                  <wp:docPr id="38" name="Graphique 3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que 2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ou</w:t>
            </w:r>
            <w:r>
              <w:rPr>
                <w:noProof/>
              </w:rPr>
              <w:drawing>
                <wp:inline distT="0" distB="0" distL="0" distR="0" wp14:anchorId="2A6503F6" wp14:editId="0055C90A">
                  <wp:extent cx="324000" cy="324000"/>
                  <wp:effectExtent l="0" t="0" r="0" b="0"/>
                  <wp:docPr id="39" name="Graphique 39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que 29" descr="Homme et fe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gridSpan w:val="2"/>
            <w:shd w:val="clear" w:color="auto" w:fill="92D050"/>
            <w:vAlign w:val="center"/>
          </w:tcPr>
          <w:p w14:paraId="630DF9C4" w14:textId="77777777" w:rsidR="0036268A" w:rsidRPr="00D41EA8" w:rsidRDefault="0036268A" w:rsidP="00327698">
            <w:pPr>
              <w:jc w:val="center"/>
            </w:pPr>
            <w:r w:rsidRPr="00D41EA8">
              <w:t>Source</w:t>
            </w:r>
          </w:p>
        </w:tc>
      </w:tr>
    </w:tbl>
    <w:p w14:paraId="1C6C24E0" w14:textId="77777777" w:rsidR="0036268A" w:rsidRDefault="0036268A" w:rsidP="0036268A">
      <w:pPr>
        <w:pStyle w:val="tacheseurasment"/>
        <w:jc w:val="both"/>
        <w:rPr>
          <w:sz w:val="24"/>
        </w:rPr>
      </w:pPr>
    </w:p>
    <w:tbl>
      <w:tblPr>
        <w:tblStyle w:val="Grilledutableau"/>
        <w:tblW w:w="9918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9918"/>
      </w:tblGrid>
      <w:tr w:rsidR="0036268A" w:rsidRPr="005B24B1" w14:paraId="607E879A" w14:textId="77777777" w:rsidTr="00327698">
        <w:trPr>
          <w:trHeight w:val="547"/>
        </w:trPr>
        <w:tc>
          <w:tcPr>
            <w:tcW w:w="9918" w:type="dxa"/>
            <w:shd w:val="clear" w:color="auto" w:fill="E2EFD9" w:themeFill="accent6" w:themeFillTint="33"/>
          </w:tcPr>
          <w:p w14:paraId="7BCF7313" w14:textId="77777777" w:rsidR="0036268A" w:rsidRPr="005B24B1" w:rsidRDefault="0036268A" w:rsidP="00327698">
            <w:pPr>
              <w:spacing w:before="120" w:after="120"/>
              <w:rPr>
                <w:rFonts w:cs="Arial"/>
              </w:rPr>
            </w:pPr>
            <w:r w:rsidRPr="005B24B1">
              <w:rPr>
                <w:rFonts w:cs="Arial"/>
              </w:rPr>
              <w:t xml:space="preserve">La </w:t>
            </w:r>
            <w:r>
              <w:rPr>
                <w:rFonts w:cs="Arial"/>
              </w:rPr>
              <w:t xml:space="preserve">brasserie du Solliet </w:t>
            </w:r>
            <w:r w:rsidRPr="005B24B1">
              <w:rPr>
                <w:rFonts w:cs="Arial"/>
              </w:rPr>
              <w:t>a été créée par M</w:t>
            </w:r>
            <w:r w:rsidRPr="00C44D9D">
              <w:rPr>
                <w:rFonts w:cs="Arial"/>
                <w:vertAlign w:val="superscript"/>
              </w:rPr>
              <w:t>me</w:t>
            </w:r>
            <w:r w:rsidRPr="005B24B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Long</w:t>
            </w:r>
            <w:r w:rsidRPr="005B24B1">
              <w:rPr>
                <w:rFonts w:cs="Arial"/>
              </w:rPr>
              <w:t xml:space="preserve"> le 1</w:t>
            </w:r>
            <w:r w:rsidRPr="005B24B1">
              <w:rPr>
                <w:rFonts w:cs="Arial"/>
                <w:vertAlign w:val="superscript"/>
              </w:rPr>
              <w:t>er</w:t>
            </w:r>
            <w:r w:rsidRPr="005B24B1">
              <w:rPr>
                <w:rFonts w:cs="Arial"/>
              </w:rPr>
              <w:t xml:space="preserve"> janvier 2006. Elle est spécialisée dans la fabrication de </w:t>
            </w:r>
            <w:r>
              <w:rPr>
                <w:rFonts w:cs="Arial"/>
              </w:rPr>
              <w:t>bières artisanales et locales</w:t>
            </w:r>
            <w:r w:rsidRPr="005B24B1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(bière blanche, bière brune, bière ambrée, bière de montagne…)</w:t>
            </w:r>
            <w:r w:rsidRPr="005B24B1">
              <w:rPr>
                <w:rFonts w:cs="Arial"/>
              </w:rPr>
              <w:t xml:space="preserve">. </w:t>
            </w:r>
          </w:p>
        </w:tc>
      </w:tr>
    </w:tbl>
    <w:p w14:paraId="712507C4" w14:textId="77777777" w:rsidR="0036268A" w:rsidRPr="00081863" w:rsidRDefault="0036268A" w:rsidP="0036268A">
      <w:pPr>
        <w:spacing w:before="120"/>
        <w:rPr>
          <w:b/>
          <w:sz w:val="24"/>
          <w:lang w:eastAsia="fr-FR"/>
        </w:rPr>
      </w:pPr>
      <w:r w:rsidRPr="00081863">
        <w:rPr>
          <w:b/>
          <w:sz w:val="24"/>
          <w:lang w:eastAsia="fr-FR"/>
        </w:rPr>
        <w:t>Contexte professionnel</w:t>
      </w:r>
    </w:p>
    <w:p w14:paraId="34A7EED4" w14:textId="77777777" w:rsidR="0036268A" w:rsidRDefault="0036268A" w:rsidP="0036268A">
      <w:pPr>
        <w:spacing w:before="120"/>
        <w:jc w:val="both"/>
        <w:rPr>
          <w:rFonts w:ascii="Arial Narrow" w:hAnsi="Arial Narrow"/>
          <w:sz w:val="18"/>
        </w:rPr>
      </w:pPr>
      <w:r>
        <w:rPr>
          <w:lang w:eastAsia="fr-FR"/>
        </w:rPr>
        <w:t>Devant le succès rencontré par ses produits, M</w:t>
      </w:r>
      <w:r w:rsidRPr="00C44D9D">
        <w:rPr>
          <w:vertAlign w:val="superscript"/>
          <w:lang w:eastAsia="fr-FR"/>
        </w:rPr>
        <w:t>me</w:t>
      </w:r>
      <w:r>
        <w:rPr>
          <w:lang w:eastAsia="fr-FR"/>
        </w:rPr>
        <w:t xml:space="preserve"> Long a ouvert deux bars à bières dans deux villes de la région Auvergnes-Rhône-Alpes</w:t>
      </w:r>
      <w:r w:rsidRPr="00D61FF8">
        <w:rPr>
          <w:rFonts w:ascii="Arial Narrow" w:hAnsi="Arial Narrow"/>
          <w:sz w:val="18"/>
        </w:rPr>
        <w:tab/>
      </w:r>
    </w:p>
    <w:p w14:paraId="298201F9" w14:textId="77777777" w:rsidR="0036268A" w:rsidRPr="00013CCB" w:rsidRDefault="0036268A" w:rsidP="0036268A">
      <w:pPr>
        <w:spacing w:before="120"/>
        <w:ind w:right="-1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À</w:t>
      </w:r>
      <w:r w:rsidRPr="00013CCB">
        <w:rPr>
          <w:rFonts w:cs="Arial"/>
          <w:lang w:eastAsia="fr-FR"/>
        </w:rPr>
        <w:t xml:space="preserve"> la suite d’une étude de marché, il apparait que la vente de </w:t>
      </w:r>
      <w:r>
        <w:rPr>
          <w:rFonts w:cs="Arial"/>
          <w:lang w:eastAsia="fr-FR"/>
        </w:rPr>
        <w:t>bières</w:t>
      </w:r>
      <w:r w:rsidRPr="00013CCB">
        <w:rPr>
          <w:rFonts w:cs="Arial"/>
          <w:lang w:eastAsia="fr-FR"/>
        </w:rPr>
        <w:t xml:space="preserve"> assure</w:t>
      </w:r>
      <w:r>
        <w:rPr>
          <w:rFonts w:cs="Arial"/>
          <w:lang w:eastAsia="fr-FR"/>
        </w:rPr>
        <w:t xml:space="preserve"> une bonne</w:t>
      </w:r>
      <w:r w:rsidRPr="00013CCB">
        <w:rPr>
          <w:rFonts w:cs="Arial"/>
          <w:lang w:eastAsia="fr-FR"/>
        </w:rPr>
        <w:t xml:space="preserve"> rentabilité de</w:t>
      </w:r>
      <w:r>
        <w:rPr>
          <w:rFonts w:cs="Arial"/>
          <w:lang w:eastAsia="fr-FR"/>
        </w:rPr>
        <w:t>s établissements, mais les clients regrettent qu’il n’y ait pas de produits à manger</w:t>
      </w:r>
      <w:r w:rsidRPr="00013CCB">
        <w:rPr>
          <w:rFonts w:cs="Arial"/>
          <w:lang w:eastAsia="fr-FR"/>
        </w:rPr>
        <w:t xml:space="preserve">. </w:t>
      </w:r>
      <w:r>
        <w:rPr>
          <w:rFonts w:cs="Arial"/>
          <w:lang w:eastAsia="fr-FR"/>
        </w:rPr>
        <w:t xml:space="preserve">La société </w:t>
      </w:r>
      <w:r w:rsidRPr="00013CCB">
        <w:rPr>
          <w:rFonts w:cs="Arial"/>
          <w:lang w:eastAsia="fr-FR"/>
        </w:rPr>
        <w:t>envisage de faire de la restauration rapide, domaine dans lequel M</w:t>
      </w:r>
      <w:r w:rsidRPr="00C44D9D">
        <w:rPr>
          <w:rFonts w:cs="Arial"/>
          <w:vertAlign w:val="superscript"/>
          <w:lang w:eastAsia="fr-FR"/>
        </w:rPr>
        <w:t>me</w:t>
      </w:r>
      <w:r w:rsidRPr="00013CCB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Long</w:t>
      </w:r>
      <w:r w:rsidRPr="00013CCB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souhaite</w:t>
      </w:r>
      <w:r w:rsidRPr="00013CCB">
        <w:rPr>
          <w:rFonts w:cs="Arial"/>
          <w:lang w:eastAsia="fr-FR"/>
        </w:rPr>
        <w:t xml:space="preserve"> se diversifier depuis plusieurs années.</w:t>
      </w:r>
    </w:p>
    <w:p w14:paraId="7B9287D1" w14:textId="77777777" w:rsidR="0036268A" w:rsidRPr="00013CCB" w:rsidRDefault="0036268A" w:rsidP="0036268A">
      <w:pPr>
        <w:spacing w:before="120"/>
        <w:ind w:right="-1"/>
        <w:jc w:val="both"/>
        <w:rPr>
          <w:rFonts w:cs="Arial"/>
          <w:lang w:eastAsia="fr-FR"/>
        </w:rPr>
      </w:pPr>
      <w:r w:rsidRPr="00013CCB">
        <w:rPr>
          <w:rFonts w:cs="Arial"/>
          <w:lang w:eastAsia="fr-FR"/>
        </w:rPr>
        <w:t>Afin de se démarquer de la forte concurrence des centres villes, elle proposer</w:t>
      </w:r>
      <w:r>
        <w:rPr>
          <w:rFonts w:cs="Arial"/>
          <w:lang w:eastAsia="fr-FR"/>
        </w:rPr>
        <w:t>a</w:t>
      </w:r>
      <w:r w:rsidRPr="00013CCB">
        <w:rPr>
          <w:rFonts w:cs="Arial"/>
          <w:lang w:eastAsia="fr-FR"/>
        </w:rPr>
        <w:t xml:space="preserve"> du snacking bio de qualité qui s’inscrira dans la mouvance du Slow Food</w:t>
      </w:r>
      <w:r>
        <w:rPr>
          <w:rFonts w:cs="Arial"/>
          <w:lang w:eastAsia="fr-FR"/>
        </w:rPr>
        <w:t xml:space="preserve"> et dans l’esprit des bières produites</w:t>
      </w:r>
      <w:r w:rsidRPr="00013CCB">
        <w:rPr>
          <w:rFonts w:cs="Arial"/>
          <w:lang w:eastAsia="fr-FR"/>
        </w:rPr>
        <w:t>. Concept</w:t>
      </w:r>
      <w:r>
        <w:rPr>
          <w:rFonts w:cs="Arial"/>
          <w:lang w:eastAsia="fr-FR"/>
        </w:rPr>
        <w:t>s</w:t>
      </w:r>
      <w:r w:rsidRPr="00013CCB">
        <w:rPr>
          <w:rFonts w:cs="Arial"/>
          <w:lang w:eastAsia="fr-FR"/>
        </w:rPr>
        <w:t xml:space="preserve"> dans le</w:t>
      </w:r>
      <w:r>
        <w:rPr>
          <w:rFonts w:cs="Arial"/>
          <w:lang w:eastAsia="fr-FR"/>
        </w:rPr>
        <w:t>s</w:t>
      </w:r>
      <w:r w:rsidRPr="00013CCB">
        <w:rPr>
          <w:rFonts w:cs="Arial"/>
          <w:lang w:eastAsia="fr-FR"/>
        </w:rPr>
        <w:t>quel</w:t>
      </w:r>
      <w:r>
        <w:rPr>
          <w:rFonts w:cs="Arial"/>
          <w:lang w:eastAsia="fr-FR"/>
        </w:rPr>
        <w:t>s</w:t>
      </w:r>
      <w:r w:rsidRPr="00013CCB">
        <w:rPr>
          <w:rFonts w:cs="Arial"/>
          <w:lang w:eastAsia="fr-FR"/>
        </w:rPr>
        <w:t xml:space="preserve"> elle croit beaucoup. Ce sera donc l’occasion de tester l’idée.</w:t>
      </w:r>
      <w:r>
        <w:rPr>
          <w:rFonts w:cs="Arial"/>
          <w:lang w:eastAsia="fr-FR"/>
        </w:rPr>
        <w:t xml:space="preserve"> Cependant elle ne souhaite pas que la société fabrique elle-même les produits et elle envisage de sous-traiter la fabrication auprès d’une entreprises extérieure.</w:t>
      </w:r>
    </w:p>
    <w:p w14:paraId="4BE8B3A2" w14:textId="77777777" w:rsidR="0036268A" w:rsidRDefault="0036268A" w:rsidP="0036268A">
      <w:pPr>
        <w:spacing w:before="240" w:after="120"/>
        <w:rPr>
          <w:rFonts w:cs="Arial"/>
          <w:b/>
          <w:lang w:eastAsia="fr-FR"/>
        </w:rPr>
      </w:pPr>
      <w:r w:rsidRPr="00081863">
        <w:rPr>
          <w:rFonts w:cs="Arial"/>
          <w:b/>
          <w:lang w:eastAsia="fr-FR"/>
        </w:rPr>
        <w:t>Travail à faire :</w:t>
      </w:r>
      <w:bookmarkEnd w:id="0"/>
    </w:p>
    <w:p w14:paraId="1E356CB7" w14:textId="4CA16908" w:rsidR="00692585" w:rsidRPr="0036268A" w:rsidRDefault="00692585" w:rsidP="0036268A">
      <w:pPr>
        <w:spacing w:before="240" w:after="120"/>
        <w:rPr>
          <w:rFonts w:cs="Arial"/>
          <w:bCs/>
          <w:lang w:eastAsia="fr-FR"/>
        </w:rPr>
      </w:pPr>
      <w:r w:rsidRPr="0036268A">
        <w:rPr>
          <w:rFonts w:cs="Arial"/>
          <w:bCs/>
          <w:lang w:eastAsia="fr-FR"/>
        </w:rPr>
        <w:t>Expliquez et justifiez, dans une note d’information</w:t>
      </w:r>
      <w:r w:rsidR="00C22CEC">
        <w:rPr>
          <w:rFonts w:cs="Arial"/>
          <w:bCs/>
          <w:lang w:eastAsia="fr-FR"/>
        </w:rPr>
        <w:t xml:space="preserve">, </w:t>
      </w:r>
      <w:r w:rsidR="0036268A" w:rsidRPr="0036268A">
        <w:rPr>
          <w:rFonts w:cs="Arial"/>
          <w:bCs/>
          <w:lang w:eastAsia="fr-FR"/>
        </w:rPr>
        <w:t>à l’aide des ressources du chapitre</w:t>
      </w:r>
      <w:r w:rsidRPr="0036268A">
        <w:rPr>
          <w:rFonts w:cs="Arial"/>
          <w:bCs/>
          <w:lang w:eastAsia="fr-FR"/>
        </w:rPr>
        <w:t>, les avantages et les inconvénients du recourt à la sous-traitance</w:t>
      </w:r>
      <w:r w:rsidR="00AE6C83" w:rsidRPr="0036268A">
        <w:rPr>
          <w:rFonts w:cs="Arial"/>
          <w:bCs/>
          <w:lang w:eastAsia="fr-FR"/>
        </w:rPr>
        <w:t xml:space="preserve"> pour le donneur d’ordre</w:t>
      </w:r>
      <w:r w:rsidRPr="0036268A">
        <w:rPr>
          <w:rFonts w:cs="Arial"/>
          <w:bCs/>
          <w:lang w:eastAsia="fr-FR"/>
        </w:rPr>
        <w:t>.</w:t>
      </w:r>
    </w:p>
    <w:p w14:paraId="02986627" w14:textId="77777777" w:rsidR="00692585" w:rsidRDefault="00692585" w:rsidP="00692585">
      <w:pPr>
        <w:spacing w:after="120"/>
        <w:rPr>
          <w:rFonts w:cs="Arial"/>
          <w:b/>
          <w:lang w:eastAsia="fr-FR"/>
        </w:rPr>
      </w:pPr>
    </w:p>
    <w:p w14:paraId="2B938617" w14:textId="77777777" w:rsidR="00692585" w:rsidRDefault="00692585" w:rsidP="00692585">
      <w:pPr>
        <w:spacing w:after="120"/>
        <w:rPr>
          <w:rFonts w:cs="Arial"/>
          <w:b/>
          <w:lang w:eastAsia="fr-FR"/>
        </w:rPr>
      </w:pPr>
    </w:p>
    <w:p w14:paraId="558BE25E" w14:textId="77777777" w:rsidR="00692585" w:rsidRDefault="00692585" w:rsidP="00692585">
      <w:pPr>
        <w:spacing w:after="120"/>
        <w:rPr>
          <w:b/>
          <w:color w:val="000000" w:themeColor="text1"/>
        </w:rPr>
      </w:pPr>
    </w:p>
    <w:p w14:paraId="727821F6" w14:textId="77777777" w:rsidR="00BF37FA" w:rsidRPr="00692585" w:rsidRDefault="00BF37FA" w:rsidP="00692585"/>
    <w:sectPr w:rsidR="00BF37FA" w:rsidRPr="00692585" w:rsidSect="004B23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171E"/>
    <w:multiLevelType w:val="hybridMultilevel"/>
    <w:tmpl w:val="F7FE63C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12684"/>
    <w:multiLevelType w:val="hybridMultilevel"/>
    <w:tmpl w:val="B1B05A62"/>
    <w:lvl w:ilvl="0" w:tplc="220445C4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31462"/>
    <w:multiLevelType w:val="hybridMultilevel"/>
    <w:tmpl w:val="5C42C9EA"/>
    <w:lvl w:ilvl="0" w:tplc="220445C4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845236">
    <w:abstractNumId w:val="0"/>
  </w:num>
  <w:num w:numId="2" w16cid:durableId="1172641768">
    <w:abstractNumId w:val="2"/>
  </w:num>
  <w:num w:numId="3" w16cid:durableId="94130847">
    <w:abstractNumId w:val="1"/>
  </w:num>
  <w:num w:numId="4" w16cid:durableId="1652441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64"/>
    <w:rsid w:val="0036268A"/>
    <w:rsid w:val="004B230C"/>
    <w:rsid w:val="00692585"/>
    <w:rsid w:val="007E1140"/>
    <w:rsid w:val="00886461"/>
    <w:rsid w:val="00944A38"/>
    <w:rsid w:val="009D6B21"/>
    <w:rsid w:val="00AE6C83"/>
    <w:rsid w:val="00B71D64"/>
    <w:rsid w:val="00BF37FA"/>
    <w:rsid w:val="00C22CEC"/>
    <w:rsid w:val="00E75959"/>
    <w:rsid w:val="00E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4B1B"/>
  <w15:chartTrackingRefBased/>
  <w15:docId w15:val="{0688985E-2DF4-49BA-B820-5E9417FC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64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B71D64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1D64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B71D64"/>
    <w:rPr>
      <w:rFonts w:eastAsia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B71D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2015-01-01T22:35:00Z</dcterms:created>
  <dcterms:modified xsi:type="dcterms:W3CDTF">2023-01-14T16:42:00Z</dcterms:modified>
</cp:coreProperties>
</file>