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357"/>
        <w:gridCol w:w="6828"/>
        <w:gridCol w:w="850"/>
        <w:gridCol w:w="906"/>
        <w:gridCol w:w="9"/>
      </w:tblGrid>
      <w:tr w:rsidR="008B7A14" w:rsidRPr="00C22356" w14:paraId="69BA6933" w14:textId="77777777" w:rsidTr="00C04F3B">
        <w:trPr>
          <w:gridAfter w:val="1"/>
          <w:wAfter w:w="9" w:type="dxa"/>
          <w:trHeight w:val="386"/>
        </w:trPr>
        <w:tc>
          <w:tcPr>
            <w:tcW w:w="8217" w:type="dxa"/>
            <w:gridSpan w:val="2"/>
            <w:shd w:val="clear" w:color="auto" w:fill="92D050"/>
            <w:vAlign w:val="center"/>
          </w:tcPr>
          <w:p w14:paraId="314AE5D3" w14:textId="22E25619" w:rsidR="008B7A14" w:rsidRPr="00180796" w:rsidRDefault="008B7A14" w:rsidP="00C04F3B">
            <w:pPr>
              <w:pStyle w:val="Titre2"/>
              <w:spacing w:before="120"/>
              <w:jc w:val="center"/>
              <w:rPr>
                <w:szCs w:val="22"/>
              </w:rPr>
            </w:pPr>
            <w:bookmarkStart w:id="0" w:name="_Hlk526924795"/>
            <w:bookmarkStart w:id="1" w:name="_Hlk526924861"/>
            <w:r w:rsidRPr="00180796">
              <w:rPr>
                <w:szCs w:val="22"/>
              </w:rPr>
              <w:t>Mission 2 – Différen</w:t>
            </w:r>
            <w:r w:rsidR="00BD5FDA">
              <w:rPr>
                <w:szCs w:val="22"/>
              </w:rPr>
              <w:t>c</w:t>
            </w:r>
            <w:r w:rsidRPr="00180796">
              <w:rPr>
                <w:szCs w:val="22"/>
              </w:rPr>
              <w:t>ier les garanties</w:t>
            </w:r>
          </w:p>
        </w:tc>
        <w:tc>
          <w:tcPr>
            <w:tcW w:w="1724" w:type="dxa"/>
            <w:gridSpan w:val="2"/>
            <w:shd w:val="clear" w:color="auto" w:fill="92D050"/>
            <w:vAlign w:val="center"/>
          </w:tcPr>
          <w:p w14:paraId="215F8D3F" w14:textId="77777777" w:rsidR="008B7A14" w:rsidRPr="00C22356" w:rsidRDefault="008B7A14" w:rsidP="00C04F3B">
            <w:pPr>
              <w:pStyle w:val="Titre2"/>
              <w:spacing w:after="0"/>
              <w:jc w:val="center"/>
            </w:pPr>
            <w:r w:rsidRPr="00D82897">
              <w:rPr>
                <w:noProof/>
              </w:rPr>
              <w:drawing>
                <wp:inline distT="0" distB="0" distL="0" distR="0" wp14:anchorId="61BFE77C" wp14:editId="1A2069A0">
                  <wp:extent cx="846426" cy="792000"/>
                  <wp:effectExtent l="0" t="0" r="0" b="825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cadrien-couleur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6426" cy="792000"/>
                          </a:xfrm>
                          <a:prstGeom prst="rect">
                            <a:avLst/>
                          </a:prstGeom>
                        </pic:spPr>
                      </pic:pic>
                    </a:graphicData>
                  </a:graphic>
                </wp:inline>
              </w:drawing>
            </w:r>
          </w:p>
        </w:tc>
      </w:tr>
      <w:tr w:rsidR="008B7A14" w:rsidRPr="00C22356" w14:paraId="5CCDBB0F" w14:textId="77777777" w:rsidTr="00C04F3B">
        <w:trPr>
          <w:trHeight w:val="386"/>
        </w:trPr>
        <w:tc>
          <w:tcPr>
            <w:tcW w:w="1359" w:type="dxa"/>
            <w:shd w:val="clear" w:color="auto" w:fill="92D050"/>
            <w:vAlign w:val="center"/>
          </w:tcPr>
          <w:p w14:paraId="2F62B606" w14:textId="77777777" w:rsidR="008B7A14" w:rsidRPr="006C7177" w:rsidRDefault="008B7A14" w:rsidP="00C04F3B">
            <w:r w:rsidRPr="006C7177">
              <w:t xml:space="preserve">Durée : </w:t>
            </w:r>
            <w:r>
              <w:t>30’</w:t>
            </w:r>
          </w:p>
        </w:tc>
        <w:tc>
          <w:tcPr>
            <w:tcW w:w="6858" w:type="dxa"/>
            <w:shd w:val="clear" w:color="auto" w:fill="92D050"/>
          </w:tcPr>
          <w:p w14:paraId="78EDDE9D" w14:textId="77777777" w:rsidR="008B7A14" w:rsidRPr="006C7177" w:rsidRDefault="008B7A14" w:rsidP="00C04F3B">
            <w:pPr>
              <w:jc w:val="center"/>
            </w:pPr>
            <w:r>
              <w:rPr>
                <w:noProof/>
              </w:rPr>
              <w:drawing>
                <wp:inline distT="0" distB="0" distL="0" distR="0" wp14:anchorId="6880CFFA" wp14:editId="30B79425">
                  <wp:extent cx="288000" cy="288000"/>
                  <wp:effectExtent l="0" t="0" r="0" b="0"/>
                  <wp:docPr id="32" name="Graphique 3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88000" cy="288000"/>
                          </a:xfrm>
                          <a:prstGeom prst="rect">
                            <a:avLst/>
                          </a:prstGeom>
                        </pic:spPr>
                      </pic:pic>
                    </a:graphicData>
                  </a:graphic>
                </wp:inline>
              </w:drawing>
            </w:r>
            <w:r>
              <w:rPr>
                <w:noProof/>
              </w:rPr>
              <w:t>ou</w:t>
            </w:r>
            <w:r>
              <w:rPr>
                <w:noProof/>
              </w:rPr>
              <w:drawing>
                <wp:inline distT="0" distB="0" distL="0" distR="0" wp14:anchorId="0DBB1F9E" wp14:editId="5EB8B182">
                  <wp:extent cx="324000" cy="324000"/>
                  <wp:effectExtent l="0" t="0" r="0" b="0"/>
                  <wp:docPr id="33" name="Graphique 33" descr="Homme et fe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9" descr="Homme et femme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4000" cy="324000"/>
                          </a:xfrm>
                          <a:prstGeom prst="rect">
                            <a:avLst/>
                          </a:prstGeom>
                        </pic:spPr>
                      </pic:pic>
                    </a:graphicData>
                  </a:graphic>
                </wp:inline>
              </w:drawing>
            </w:r>
          </w:p>
        </w:tc>
        <w:tc>
          <w:tcPr>
            <w:tcW w:w="850" w:type="dxa"/>
            <w:shd w:val="clear" w:color="auto" w:fill="92D050"/>
            <w:vAlign w:val="center"/>
          </w:tcPr>
          <w:p w14:paraId="58823674" w14:textId="77777777" w:rsidR="008B7A14" w:rsidRPr="00420174" w:rsidRDefault="008B7A14" w:rsidP="00C04F3B">
            <w:pPr>
              <w:jc w:val="center"/>
            </w:pPr>
            <w:r>
              <w:rPr>
                <w:noProof/>
              </w:rPr>
              <w:drawing>
                <wp:inline distT="0" distB="0" distL="0" distR="0" wp14:anchorId="6E7EC282" wp14:editId="600DBFEB">
                  <wp:extent cx="326486" cy="324000"/>
                  <wp:effectExtent l="0" t="0" r="0" b="0"/>
                  <wp:docPr id="201348280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75605" name="Image 7037756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486" cy="324000"/>
                          </a:xfrm>
                          <a:prstGeom prst="rect">
                            <a:avLst/>
                          </a:prstGeom>
                        </pic:spPr>
                      </pic:pic>
                    </a:graphicData>
                  </a:graphic>
                </wp:inline>
              </w:drawing>
            </w:r>
          </w:p>
        </w:tc>
        <w:tc>
          <w:tcPr>
            <w:tcW w:w="883" w:type="dxa"/>
            <w:gridSpan w:val="2"/>
            <w:shd w:val="clear" w:color="auto" w:fill="92D050"/>
            <w:vAlign w:val="center"/>
          </w:tcPr>
          <w:p w14:paraId="166FDF14" w14:textId="77777777" w:rsidR="008B7A14" w:rsidRPr="00420174" w:rsidRDefault="008B7A14" w:rsidP="00C04F3B">
            <w:r w:rsidRPr="00420174">
              <w:t>Source</w:t>
            </w:r>
          </w:p>
        </w:tc>
      </w:tr>
    </w:tbl>
    <w:p w14:paraId="5B8E2283" w14:textId="77777777" w:rsidR="008B7A14" w:rsidRPr="00A90EC8" w:rsidRDefault="008B7A14" w:rsidP="008B7A14">
      <w:pPr>
        <w:spacing w:before="240" w:after="120"/>
        <w:jc w:val="both"/>
        <w:rPr>
          <w:rFonts w:cs="Arial"/>
          <w:b/>
          <w:noProof/>
          <w:sz w:val="24"/>
        </w:rPr>
      </w:pPr>
      <w:r w:rsidRPr="00A90EC8">
        <w:rPr>
          <w:rFonts w:cs="Arial"/>
          <w:b/>
          <w:noProof/>
          <w:sz w:val="24"/>
        </w:rPr>
        <w:t>Contexte professionnelle</w:t>
      </w:r>
    </w:p>
    <w:p w14:paraId="76CEE34A" w14:textId="77777777" w:rsidR="008B7A14" w:rsidRDefault="008B7A14" w:rsidP="008B7A14">
      <w:pPr>
        <w:pStyle w:val="tacheseurasment"/>
        <w:spacing w:before="120" w:after="120"/>
        <w:jc w:val="both"/>
        <w:rPr>
          <w:rFonts w:eastAsia="Calibri"/>
          <w:szCs w:val="22"/>
          <w:lang w:eastAsia="en-US"/>
        </w:rPr>
      </w:pPr>
      <w:r w:rsidRPr="009F0D7C">
        <w:rPr>
          <w:rFonts w:eastAsia="Calibri"/>
          <w:szCs w:val="22"/>
          <w:lang w:eastAsia="en-US"/>
        </w:rPr>
        <w:t xml:space="preserve">Un client refuse de payer une facture en prétextant des vices cachés sur un produit qu’il vient de recevoir. Il n’a pas émis de réserves lors de la réception des cadres et il a signé le bon de réception. </w:t>
      </w:r>
      <w:r w:rsidRPr="009F0D7C">
        <w:rPr>
          <w:rFonts w:eastAsia="Calibri"/>
          <w:i/>
          <w:iCs/>
          <w:szCs w:val="22"/>
          <w:lang w:eastAsia="en-US"/>
        </w:rPr>
        <w:t>Cependant</w:t>
      </w:r>
      <w:r w:rsidRPr="009F0D7C">
        <w:rPr>
          <w:rFonts w:eastAsia="Calibri"/>
          <w:szCs w:val="22"/>
          <w:lang w:eastAsia="en-US"/>
        </w:rPr>
        <w:t>, il reproche aux cadres de ne pas avoir les mêmes couleurs que sur les pages du site internet. Il demande à l’entreprise de reprendre les cadres et refuse de les payer.</w:t>
      </w:r>
    </w:p>
    <w:p w14:paraId="79F276B4" w14:textId="77777777" w:rsidR="008B7A14" w:rsidRPr="002412CC" w:rsidRDefault="008B7A14" w:rsidP="008B7A14">
      <w:pPr>
        <w:pStyle w:val="tacheseurasment"/>
        <w:spacing w:before="120" w:after="120"/>
        <w:jc w:val="both"/>
        <w:rPr>
          <w:b/>
          <w:sz w:val="24"/>
        </w:rPr>
      </w:pPr>
      <w:r w:rsidRPr="002412CC">
        <w:rPr>
          <w:b/>
          <w:sz w:val="24"/>
        </w:rPr>
        <w:t xml:space="preserve">Travail à faire </w:t>
      </w:r>
    </w:p>
    <w:p w14:paraId="65C0DC16" w14:textId="77777777" w:rsidR="008B7A14" w:rsidRDefault="008B7A14" w:rsidP="008B7A14">
      <w:pPr>
        <w:pStyle w:val="tacheseurasment"/>
        <w:numPr>
          <w:ilvl w:val="0"/>
          <w:numId w:val="7"/>
        </w:numPr>
        <w:ind w:left="284" w:hanging="284"/>
        <w:jc w:val="both"/>
      </w:pPr>
      <w:r>
        <w:t xml:space="preserve">Expliquez dans une courte note à M. Solliet la différence entre la garantie légale de conformité et la garantie contre les vices cachés. Vous pouvez vous aider des </w:t>
      </w:r>
      <w:r w:rsidRPr="00626C64">
        <w:rPr>
          <w:b/>
          <w:bCs/>
        </w:rPr>
        <w:t>documents 1</w:t>
      </w:r>
      <w:r>
        <w:t xml:space="preserve"> et </w:t>
      </w:r>
      <w:r w:rsidRPr="00626C64">
        <w:rPr>
          <w:b/>
          <w:bCs/>
        </w:rPr>
        <w:t>2</w:t>
      </w:r>
      <w:r>
        <w:t>.</w:t>
      </w:r>
    </w:p>
    <w:p w14:paraId="32C82C35" w14:textId="77777777" w:rsidR="008B7A14" w:rsidRDefault="008B7A14" w:rsidP="008B7A14">
      <w:pPr>
        <w:pStyle w:val="tacheseurasment"/>
        <w:numPr>
          <w:ilvl w:val="0"/>
          <w:numId w:val="7"/>
        </w:numPr>
        <w:ind w:left="284" w:hanging="284"/>
        <w:jc w:val="both"/>
      </w:pPr>
      <w:r>
        <w:t>La garantie pour vice caché peut-elle fonctionner dans cette situation ?</w:t>
      </w:r>
    </w:p>
    <w:p w14:paraId="4454BC87" w14:textId="77777777" w:rsidR="008B7A14" w:rsidRDefault="008B7A14" w:rsidP="008B7A14">
      <w:pPr>
        <w:pStyle w:val="tacheseurasment"/>
        <w:numPr>
          <w:ilvl w:val="0"/>
          <w:numId w:val="7"/>
        </w:numPr>
        <w:ind w:left="284" w:hanging="284"/>
        <w:jc w:val="both"/>
      </w:pPr>
      <w:r>
        <w:t>Quelle solution préconisez-vous à M. Solliet ?</w:t>
      </w:r>
    </w:p>
    <w:p w14:paraId="01D167A1" w14:textId="77777777" w:rsidR="008B7A14" w:rsidRDefault="008B7A14" w:rsidP="008B7A14">
      <w:pPr>
        <w:pStyle w:val="tacheseurasment"/>
        <w:ind w:left="360"/>
        <w:jc w:val="both"/>
      </w:pPr>
    </w:p>
    <w:bookmarkEnd w:id="0"/>
    <w:p w14:paraId="59814422" w14:textId="77777777" w:rsidR="008B7A14" w:rsidRPr="008B7A14" w:rsidRDefault="008B7A14" w:rsidP="008B7A14">
      <w:pPr>
        <w:pStyle w:val="Titre3"/>
        <w:spacing w:after="120"/>
        <w:ind w:left="360" w:hanging="360"/>
        <w:rPr>
          <w:rFonts w:ascii="Arial" w:hAnsi="Arial" w:cs="Arial"/>
          <w:b/>
          <w:lang w:eastAsia="fr-CH"/>
        </w:rPr>
      </w:pPr>
      <w:r w:rsidRPr="008B7A14">
        <w:rPr>
          <w:rStyle w:val="lev"/>
          <w:rFonts w:ascii="Arial" w:hAnsi="Arial" w:cs="Arial"/>
          <w:bCs w:val="0"/>
          <w:color w:val="FFFFFF" w:themeColor="background1"/>
          <w:highlight w:val="red"/>
        </w:rPr>
        <w:t xml:space="preserve">Doc. </w:t>
      </w:r>
      <w:proofErr w:type="gramStart"/>
      <w:r w:rsidRPr="008B7A14">
        <w:rPr>
          <w:rStyle w:val="lev"/>
          <w:rFonts w:ascii="Arial" w:hAnsi="Arial" w:cs="Arial"/>
          <w:bCs w:val="0"/>
          <w:color w:val="FFFFFF" w:themeColor="background1"/>
          <w:highlight w:val="red"/>
        </w:rPr>
        <w:t>1 </w:t>
      </w:r>
      <w:r w:rsidRPr="008B7A14">
        <w:rPr>
          <w:rStyle w:val="lev"/>
          <w:rFonts w:ascii="Arial" w:hAnsi="Arial" w:cs="Arial"/>
          <w:bCs w:val="0"/>
          <w:color w:val="FFFFFF" w:themeColor="background1"/>
        </w:rPr>
        <w:t xml:space="preserve"> </w:t>
      </w:r>
      <w:r w:rsidRPr="008B7A14">
        <w:rPr>
          <w:rFonts w:ascii="Arial" w:hAnsi="Arial" w:cs="Arial"/>
          <w:b/>
        </w:rPr>
        <w:t>Garantie</w:t>
      </w:r>
      <w:proofErr w:type="gramEnd"/>
      <w:r w:rsidRPr="008B7A14">
        <w:rPr>
          <w:rFonts w:ascii="Arial" w:hAnsi="Arial" w:cs="Arial"/>
          <w:b/>
        </w:rPr>
        <w:t xml:space="preserve"> des vices cachés : à quoi ça sert, comment la faire jouer ?</w:t>
      </w:r>
    </w:p>
    <w:p w14:paraId="4F1FB27B" w14:textId="77777777" w:rsidR="008B7A14" w:rsidRPr="009F0D7C" w:rsidRDefault="008B7A14" w:rsidP="008B7A14">
      <w:pPr>
        <w:jc w:val="both"/>
        <w:rPr>
          <w:sz w:val="20"/>
          <w:szCs w:val="20"/>
        </w:rPr>
      </w:pPr>
      <w:r w:rsidRPr="009F0D7C">
        <w:rPr>
          <w:sz w:val="20"/>
          <w:szCs w:val="20"/>
        </w:rPr>
        <w:t xml:space="preserve">Les vices cachés sont des défauts non visibles au moment de l’achat et qui rendent le produit impropre à l’usage auquel il est destiné ou le diminuent tellement que vous ne l’auriez pas acheté ou bien à un prix moindre. </w:t>
      </w:r>
    </w:p>
    <w:p w14:paraId="0E0EF945"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t>Qu'est-ce qu'un vice caché ?</w:t>
      </w:r>
    </w:p>
    <w:p w14:paraId="6F7D84B6" w14:textId="77777777" w:rsidR="008B7A14" w:rsidRPr="009F0D7C" w:rsidRDefault="008B7A14" w:rsidP="008B7A14">
      <w:pPr>
        <w:jc w:val="both"/>
        <w:rPr>
          <w:sz w:val="20"/>
          <w:szCs w:val="20"/>
        </w:rPr>
      </w:pPr>
      <w:r w:rsidRPr="009F0D7C">
        <w:rPr>
          <w:sz w:val="20"/>
          <w:szCs w:val="20"/>
        </w:rPr>
        <w:t>Pour faire jouer la garantie des vices cachés, le défaut du bien doit :</w:t>
      </w:r>
    </w:p>
    <w:p w14:paraId="3D59203F" w14:textId="77777777" w:rsidR="008B7A14" w:rsidRPr="009F0D7C" w:rsidRDefault="008B7A14" w:rsidP="008B7A14">
      <w:pPr>
        <w:pStyle w:val="Paragraphedeliste"/>
        <w:numPr>
          <w:ilvl w:val="0"/>
          <w:numId w:val="2"/>
        </w:numPr>
        <w:ind w:left="284" w:hanging="284"/>
        <w:jc w:val="both"/>
        <w:rPr>
          <w:szCs w:val="20"/>
        </w:rPr>
      </w:pPr>
      <w:proofErr w:type="gramStart"/>
      <w:r w:rsidRPr="009F0D7C">
        <w:rPr>
          <w:szCs w:val="20"/>
        </w:rPr>
        <w:t>être</w:t>
      </w:r>
      <w:proofErr w:type="gramEnd"/>
      <w:r w:rsidRPr="009F0D7C">
        <w:rPr>
          <w:szCs w:val="20"/>
        </w:rPr>
        <w:t xml:space="preserve"> caché, c'est-à-dire </w:t>
      </w:r>
      <w:r w:rsidRPr="009F0D7C">
        <w:rPr>
          <w:rStyle w:val="lev"/>
          <w:rFonts w:cs="Arial"/>
          <w:color w:val="000000"/>
          <w:szCs w:val="20"/>
          <w:bdr w:val="none" w:sz="0" w:space="0" w:color="auto" w:frame="1"/>
        </w:rPr>
        <w:t>non apparent lors de l'achat</w:t>
      </w:r>
      <w:r w:rsidRPr="009F0D7C">
        <w:rPr>
          <w:szCs w:val="20"/>
        </w:rPr>
        <w:t>,</w:t>
      </w:r>
    </w:p>
    <w:p w14:paraId="1F36DA8B" w14:textId="77777777" w:rsidR="008B7A14" w:rsidRPr="009F0D7C" w:rsidRDefault="008B7A14" w:rsidP="008B7A14">
      <w:pPr>
        <w:pStyle w:val="Paragraphedeliste"/>
        <w:numPr>
          <w:ilvl w:val="0"/>
          <w:numId w:val="2"/>
        </w:numPr>
        <w:ind w:left="284" w:hanging="284"/>
        <w:jc w:val="both"/>
        <w:rPr>
          <w:szCs w:val="20"/>
        </w:rPr>
      </w:pPr>
      <w:proofErr w:type="gramStart"/>
      <w:r w:rsidRPr="009F0D7C">
        <w:rPr>
          <w:szCs w:val="20"/>
        </w:rPr>
        <w:t>rendre</w:t>
      </w:r>
      <w:proofErr w:type="gramEnd"/>
      <w:r w:rsidRPr="009F0D7C">
        <w:rPr>
          <w:szCs w:val="20"/>
        </w:rPr>
        <w:t xml:space="preserve"> le bien </w:t>
      </w:r>
      <w:r w:rsidRPr="009F0D7C">
        <w:rPr>
          <w:rStyle w:val="lev"/>
          <w:rFonts w:cs="Arial"/>
          <w:color w:val="000000"/>
          <w:szCs w:val="20"/>
          <w:bdr w:val="none" w:sz="0" w:space="0" w:color="auto" w:frame="1"/>
        </w:rPr>
        <w:t>impropre à l'usage</w:t>
      </w:r>
      <w:r w:rsidRPr="009F0D7C">
        <w:rPr>
          <w:szCs w:val="20"/>
        </w:rPr>
        <w:t xml:space="preserve"> auquel on le destine </w:t>
      </w:r>
      <w:proofErr w:type="gramStart"/>
      <w:r w:rsidRPr="009F0D7C">
        <w:rPr>
          <w:szCs w:val="20"/>
        </w:rPr>
        <w:t>ou</w:t>
      </w:r>
      <w:proofErr w:type="gramEnd"/>
      <w:r w:rsidRPr="009F0D7C">
        <w:rPr>
          <w:szCs w:val="20"/>
        </w:rPr>
        <w:t xml:space="preserve"> </w:t>
      </w:r>
      <w:r w:rsidRPr="009F0D7C">
        <w:rPr>
          <w:rStyle w:val="lev"/>
          <w:rFonts w:cs="Arial"/>
          <w:color w:val="000000"/>
          <w:szCs w:val="20"/>
          <w:bdr w:val="none" w:sz="0" w:space="0" w:color="auto" w:frame="1"/>
        </w:rPr>
        <w:t>diminuer très fortement son usage</w:t>
      </w:r>
      <w:r w:rsidRPr="009F0D7C">
        <w:rPr>
          <w:szCs w:val="20"/>
        </w:rPr>
        <w:t>,</w:t>
      </w:r>
    </w:p>
    <w:p w14:paraId="166ACF2E" w14:textId="77777777" w:rsidR="008B7A14" w:rsidRPr="009F0D7C" w:rsidRDefault="008B7A14" w:rsidP="008B7A14">
      <w:pPr>
        <w:pStyle w:val="Paragraphedeliste"/>
        <w:numPr>
          <w:ilvl w:val="0"/>
          <w:numId w:val="2"/>
        </w:numPr>
        <w:ind w:left="284" w:hanging="284"/>
        <w:jc w:val="both"/>
        <w:rPr>
          <w:szCs w:val="20"/>
        </w:rPr>
      </w:pPr>
      <w:proofErr w:type="gramStart"/>
      <w:r w:rsidRPr="009F0D7C">
        <w:rPr>
          <w:rStyle w:val="lev"/>
          <w:rFonts w:cs="Arial"/>
          <w:color w:val="000000"/>
          <w:szCs w:val="20"/>
          <w:bdr w:val="none" w:sz="0" w:space="0" w:color="auto" w:frame="1"/>
        </w:rPr>
        <w:t>exister</w:t>
      </w:r>
      <w:proofErr w:type="gramEnd"/>
      <w:r w:rsidRPr="009F0D7C">
        <w:rPr>
          <w:rStyle w:val="lev"/>
          <w:rFonts w:cs="Arial"/>
          <w:color w:val="000000"/>
          <w:szCs w:val="20"/>
          <w:bdr w:val="none" w:sz="0" w:space="0" w:color="auto" w:frame="1"/>
        </w:rPr>
        <w:t xml:space="preserve"> au moment de l'achat</w:t>
      </w:r>
      <w:r w:rsidRPr="009F0D7C">
        <w:rPr>
          <w:szCs w:val="20"/>
        </w:rPr>
        <w:t>.</w:t>
      </w:r>
    </w:p>
    <w:p w14:paraId="1A9AD288"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t>À quelles conditions s'applique la garantie ?</w:t>
      </w:r>
    </w:p>
    <w:p w14:paraId="408B7570" w14:textId="77777777" w:rsidR="008B7A14" w:rsidRPr="009F0D7C" w:rsidRDefault="008B7A14" w:rsidP="008B7A14">
      <w:pPr>
        <w:jc w:val="both"/>
        <w:rPr>
          <w:sz w:val="20"/>
          <w:szCs w:val="20"/>
        </w:rPr>
      </w:pPr>
      <w:r w:rsidRPr="009F0D7C">
        <w:rPr>
          <w:sz w:val="20"/>
          <w:szCs w:val="20"/>
        </w:rPr>
        <w:t>La garantie des vices cachés s'applique :</w:t>
      </w:r>
    </w:p>
    <w:p w14:paraId="41250ED9" w14:textId="77777777" w:rsidR="008B7A14" w:rsidRPr="009F0D7C" w:rsidRDefault="008B7A14" w:rsidP="008B7A14">
      <w:pPr>
        <w:pStyle w:val="Paragraphedeliste"/>
        <w:numPr>
          <w:ilvl w:val="0"/>
          <w:numId w:val="3"/>
        </w:numPr>
        <w:ind w:left="284" w:hanging="284"/>
        <w:jc w:val="both"/>
        <w:rPr>
          <w:szCs w:val="20"/>
        </w:rPr>
      </w:pPr>
      <w:proofErr w:type="gramStart"/>
      <w:r w:rsidRPr="009F0D7C">
        <w:rPr>
          <w:rStyle w:val="lev"/>
          <w:rFonts w:cs="Arial"/>
          <w:color w:val="000000"/>
          <w:szCs w:val="20"/>
          <w:bdr w:val="none" w:sz="0" w:space="0" w:color="auto" w:frame="1"/>
        </w:rPr>
        <w:t>quel</w:t>
      </w:r>
      <w:proofErr w:type="gramEnd"/>
      <w:r w:rsidRPr="009F0D7C">
        <w:rPr>
          <w:rStyle w:val="lev"/>
          <w:rFonts w:cs="Arial"/>
          <w:color w:val="000000"/>
          <w:szCs w:val="20"/>
          <w:bdr w:val="none" w:sz="0" w:space="0" w:color="auto" w:frame="1"/>
        </w:rPr>
        <w:t xml:space="preserve"> que soit le bien acheté</w:t>
      </w:r>
      <w:r w:rsidRPr="009F0D7C">
        <w:rPr>
          <w:szCs w:val="20"/>
        </w:rPr>
        <w:t xml:space="preserve"> (neuf ou d'occasion, en promotion, etc.), mobilier ou immobilier ;</w:t>
      </w:r>
    </w:p>
    <w:p w14:paraId="45B76769" w14:textId="77777777" w:rsidR="008B7A14" w:rsidRPr="009F0D7C" w:rsidRDefault="008B7A14" w:rsidP="008B7A14">
      <w:pPr>
        <w:pStyle w:val="Paragraphedeliste"/>
        <w:numPr>
          <w:ilvl w:val="0"/>
          <w:numId w:val="3"/>
        </w:numPr>
        <w:ind w:left="284" w:hanging="284"/>
        <w:jc w:val="both"/>
        <w:rPr>
          <w:szCs w:val="20"/>
        </w:rPr>
      </w:pPr>
      <w:proofErr w:type="gramStart"/>
      <w:r w:rsidRPr="009F0D7C">
        <w:rPr>
          <w:rStyle w:val="lev"/>
          <w:rFonts w:cs="Arial"/>
          <w:color w:val="000000"/>
          <w:szCs w:val="20"/>
          <w:bdr w:val="none" w:sz="0" w:space="0" w:color="auto" w:frame="1"/>
        </w:rPr>
        <w:t>quel</w:t>
      </w:r>
      <w:proofErr w:type="gramEnd"/>
      <w:r w:rsidRPr="009F0D7C">
        <w:rPr>
          <w:rStyle w:val="lev"/>
          <w:rFonts w:cs="Arial"/>
          <w:color w:val="000000"/>
          <w:szCs w:val="20"/>
          <w:bdr w:val="none" w:sz="0" w:space="0" w:color="auto" w:frame="1"/>
        </w:rPr>
        <w:t xml:space="preserve"> que soit le vendeur</w:t>
      </w:r>
      <w:r w:rsidRPr="009F0D7C">
        <w:rPr>
          <w:szCs w:val="20"/>
        </w:rPr>
        <w:t xml:space="preserve"> (professionnel ou simple particulier), ainsi qu'aux biens achetés directement auprès du fabricant. Mais cette garantie ne s'applique pas aux ventes aux enchères.</w:t>
      </w:r>
    </w:p>
    <w:p w14:paraId="2806F30C"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t>Quels sont les délais pour agir ?</w:t>
      </w:r>
    </w:p>
    <w:p w14:paraId="2DA6ED46" w14:textId="77777777" w:rsidR="008B7A14" w:rsidRPr="009F0D7C" w:rsidRDefault="008B7A14" w:rsidP="008B7A14">
      <w:pPr>
        <w:jc w:val="both"/>
        <w:rPr>
          <w:sz w:val="20"/>
          <w:szCs w:val="20"/>
        </w:rPr>
      </w:pPr>
      <w:r w:rsidRPr="009F0D7C">
        <w:rPr>
          <w:rStyle w:val="lev"/>
          <w:rFonts w:cs="Arial"/>
          <w:color w:val="000000"/>
          <w:sz w:val="20"/>
          <w:szCs w:val="20"/>
        </w:rPr>
        <w:t>Vous avez deux ans à partir de la découverte du défaut caché</w:t>
      </w:r>
      <w:r w:rsidRPr="009F0D7C">
        <w:rPr>
          <w:sz w:val="20"/>
          <w:szCs w:val="20"/>
        </w:rPr>
        <w:t xml:space="preserve"> pour rapporter le bien au vendeur ou le prévenir par courrier, de préférence par lettre recommandée avec avis de réception.</w:t>
      </w:r>
    </w:p>
    <w:p w14:paraId="77E96F11"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t>Comment la mettre en œuvre ?</w:t>
      </w:r>
    </w:p>
    <w:p w14:paraId="5156DACF" w14:textId="77777777" w:rsidR="008B7A14" w:rsidRPr="009F0D7C" w:rsidRDefault="008B7A14" w:rsidP="008B7A14">
      <w:pPr>
        <w:jc w:val="both"/>
        <w:rPr>
          <w:sz w:val="20"/>
          <w:szCs w:val="20"/>
        </w:rPr>
      </w:pPr>
      <w:r w:rsidRPr="009F0D7C">
        <w:rPr>
          <w:sz w:val="20"/>
          <w:szCs w:val="20"/>
        </w:rPr>
        <w:t>Au titre de cette garantie, le vendeur, qu’il soit professionnel ou particulier, est responsable des défauts cachés du bien qu’il vend. Vous pouvez :</w:t>
      </w:r>
    </w:p>
    <w:p w14:paraId="0C1505F4" w14:textId="77777777" w:rsidR="008B7A14" w:rsidRPr="008B7A14" w:rsidRDefault="008B7A14" w:rsidP="008B7A14">
      <w:pPr>
        <w:pStyle w:val="Titre3"/>
        <w:numPr>
          <w:ilvl w:val="0"/>
          <w:numId w:val="4"/>
        </w:numPr>
        <w:tabs>
          <w:tab w:val="num" w:pos="360"/>
        </w:tabs>
        <w:ind w:left="284" w:hanging="284"/>
        <w:jc w:val="both"/>
        <w:rPr>
          <w:rFonts w:ascii="Arial" w:hAnsi="Arial" w:cs="Arial"/>
          <w:sz w:val="20"/>
          <w:szCs w:val="20"/>
        </w:rPr>
      </w:pPr>
      <w:proofErr w:type="gramStart"/>
      <w:r w:rsidRPr="008B7A14">
        <w:rPr>
          <w:rStyle w:val="lev"/>
          <w:rFonts w:ascii="Arial" w:hAnsi="Arial" w:cs="Arial"/>
          <w:sz w:val="20"/>
          <w:szCs w:val="20"/>
          <w:bdr w:val="none" w:sz="0" w:space="0" w:color="auto" w:frame="1"/>
        </w:rPr>
        <w:t>restituer</w:t>
      </w:r>
      <w:proofErr w:type="gramEnd"/>
      <w:r w:rsidRPr="008B7A14">
        <w:rPr>
          <w:rStyle w:val="lev"/>
          <w:rFonts w:ascii="Arial" w:hAnsi="Arial" w:cs="Arial"/>
          <w:sz w:val="20"/>
          <w:szCs w:val="20"/>
          <w:bdr w:val="none" w:sz="0" w:space="0" w:color="auto" w:frame="1"/>
        </w:rPr>
        <w:t xml:space="preserve"> le produit</w:t>
      </w:r>
      <w:r w:rsidRPr="008B7A14">
        <w:rPr>
          <w:rFonts w:ascii="Arial" w:hAnsi="Arial" w:cs="Arial"/>
          <w:sz w:val="20"/>
          <w:szCs w:val="20"/>
        </w:rPr>
        <w:t xml:space="preserve"> au vendeur et demander le remboursement du prix payé ainsi que des frais occasionnés par la vente,</w:t>
      </w:r>
    </w:p>
    <w:p w14:paraId="1D921173" w14:textId="77777777" w:rsidR="008B7A14" w:rsidRPr="008B7A14" w:rsidRDefault="008B7A14" w:rsidP="008B7A14">
      <w:pPr>
        <w:pStyle w:val="Titre3"/>
        <w:numPr>
          <w:ilvl w:val="0"/>
          <w:numId w:val="4"/>
        </w:numPr>
        <w:tabs>
          <w:tab w:val="num" w:pos="360"/>
        </w:tabs>
        <w:ind w:left="284" w:hanging="284"/>
        <w:jc w:val="both"/>
        <w:rPr>
          <w:rFonts w:ascii="Arial" w:hAnsi="Arial" w:cs="Arial"/>
          <w:sz w:val="20"/>
          <w:szCs w:val="20"/>
        </w:rPr>
      </w:pPr>
      <w:proofErr w:type="gramStart"/>
      <w:r w:rsidRPr="008B7A14">
        <w:rPr>
          <w:rFonts w:ascii="Arial" w:hAnsi="Arial" w:cs="Arial"/>
          <w:sz w:val="20"/>
          <w:szCs w:val="20"/>
        </w:rPr>
        <w:t>garder</w:t>
      </w:r>
      <w:proofErr w:type="gramEnd"/>
      <w:r w:rsidRPr="008B7A14">
        <w:rPr>
          <w:rFonts w:ascii="Arial" w:hAnsi="Arial" w:cs="Arial"/>
          <w:sz w:val="20"/>
          <w:szCs w:val="20"/>
        </w:rPr>
        <w:t xml:space="preserve"> le produit et </w:t>
      </w:r>
      <w:r w:rsidRPr="008B7A14">
        <w:rPr>
          <w:rStyle w:val="lev"/>
          <w:rFonts w:ascii="Arial" w:hAnsi="Arial" w:cs="Arial"/>
          <w:sz w:val="20"/>
          <w:szCs w:val="20"/>
          <w:bdr w:val="none" w:sz="0" w:space="0" w:color="auto" w:frame="1"/>
        </w:rPr>
        <w:t>demander une réduction du prix</w:t>
      </w:r>
      <w:r w:rsidRPr="008B7A14">
        <w:rPr>
          <w:rFonts w:ascii="Arial" w:hAnsi="Arial" w:cs="Arial"/>
          <w:sz w:val="20"/>
          <w:szCs w:val="20"/>
        </w:rPr>
        <w:t>.</w:t>
      </w:r>
    </w:p>
    <w:p w14:paraId="07B417E9"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t>Apporter la preuve du vice caché</w:t>
      </w:r>
    </w:p>
    <w:p w14:paraId="230602CA" w14:textId="77777777" w:rsidR="008B7A14" w:rsidRPr="009F0D7C" w:rsidRDefault="008B7A14" w:rsidP="008B7A14">
      <w:pPr>
        <w:jc w:val="both"/>
        <w:rPr>
          <w:sz w:val="20"/>
          <w:szCs w:val="20"/>
        </w:rPr>
      </w:pPr>
      <w:r w:rsidRPr="009F0D7C">
        <w:rPr>
          <w:sz w:val="20"/>
          <w:szCs w:val="20"/>
        </w:rPr>
        <w:t xml:space="preserve">Contrairement à ce qui est prévu pour la garantie légale de conformité, </w:t>
      </w:r>
      <w:r w:rsidRPr="009F0D7C">
        <w:rPr>
          <w:rStyle w:val="lev"/>
          <w:rFonts w:cs="Arial"/>
          <w:color w:val="000000"/>
          <w:sz w:val="20"/>
          <w:szCs w:val="20"/>
        </w:rPr>
        <w:t>c’est à vous de prouver l’existence du vice caché</w:t>
      </w:r>
      <w:r w:rsidRPr="009F0D7C">
        <w:rPr>
          <w:sz w:val="20"/>
          <w:szCs w:val="20"/>
        </w:rPr>
        <w:t>. Vous pouvez dans un premier temps vous appuyer sur tout élément susceptible de constituer une preuve (devis de réparation, existence de nombreuses plaintes concernant des cas de pannes similaires, expertise…).</w:t>
      </w:r>
    </w:p>
    <w:p w14:paraId="38A5BB40" w14:textId="77777777" w:rsidR="008B7A14" w:rsidRPr="00180796" w:rsidRDefault="008B7A14" w:rsidP="008B7A14">
      <w:pPr>
        <w:pStyle w:val="tacheseurasment"/>
        <w:spacing w:before="120"/>
        <w:jc w:val="both"/>
        <w:rPr>
          <w:b/>
        </w:rPr>
      </w:pPr>
    </w:p>
    <w:p w14:paraId="490D651C" w14:textId="77777777" w:rsidR="008B7A14" w:rsidRPr="008B7A14" w:rsidRDefault="008B7A14" w:rsidP="008B7A14">
      <w:pPr>
        <w:pStyle w:val="Titre3"/>
        <w:ind w:left="360" w:hanging="360"/>
        <w:rPr>
          <w:rFonts w:ascii="Arial" w:hAnsi="Arial" w:cs="Arial"/>
          <w:b/>
        </w:rPr>
      </w:pPr>
      <w:r w:rsidRPr="008B7A14">
        <w:rPr>
          <w:rStyle w:val="lev"/>
          <w:rFonts w:ascii="Arial" w:hAnsi="Arial" w:cs="Arial"/>
          <w:bCs w:val="0"/>
          <w:color w:val="FFFFFF" w:themeColor="background1"/>
          <w:highlight w:val="red"/>
        </w:rPr>
        <w:t xml:space="preserve">Doc. </w:t>
      </w:r>
      <w:proofErr w:type="gramStart"/>
      <w:r w:rsidRPr="008B7A14">
        <w:rPr>
          <w:rStyle w:val="lev"/>
          <w:rFonts w:ascii="Arial" w:hAnsi="Arial" w:cs="Arial"/>
          <w:bCs w:val="0"/>
          <w:color w:val="FFFFFF" w:themeColor="background1"/>
          <w:highlight w:val="red"/>
        </w:rPr>
        <w:t>2</w:t>
      </w:r>
      <w:r w:rsidRPr="008B7A14">
        <w:rPr>
          <w:rStyle w:val="lev"/>
          <w:rFonts w:ascii="Arial" w:hAnsi="Arial" w:cs="Arial"/>
          <w:b w:val="0"/>
          <w:color w:val="FFFFFF" w:themeColor="background1"/>
          <w:highlight w:val="red"/>
        </w:rPr>
        <w:t> </w:t>
      </w:r>
      <w:r w:rsidRPr="008B7A14">
        <w:rPr>
          <w:rStyle w:val="lev"/>
          <w:rFonts w:ascii="Arial" w:hAnsi="Arial" w:cs="Arial"/>
          <w:b w:val="0"/>
          <w:color w:val="FFFFFF" w:themeColor="background1"/>
        </w:rPr>
        <w:t xml:space="preserve"> </w:t>
      </w:r>
      <w:r w:rsidRPr="008B7A14">
        <w:rPr>
          <w:rFonts w:ascii="Arial" w:hAnsi="Arial" w:cs="Arial"/>
          <w:b/>
        </w:rPr>
        <w:t>Tout</w:t>
      </w:r>
      <w:proofErr w:type="gramEnd"/>
      <w:r w:rsidRPr="008B7A14">
        <w:rPr>
          <w:rFonts w:ascii="Arial" w:hAnsi="Arial" w:cs="Arial"/>
          <w:b/>
        </w:rPr>
        <w:t xml:space="preserve"> savoir sur la garantie légale de conformité</w:t>
      </w:r>
    </w:p>
    <w:p w14:paraId="21ECBB5D" w14:textId="77777777" w:rsidR="008B7A14" w:rsidRPr="00626C64" w:rsidRDefault="008B7A14" w:rsidP="008B7A14">
      <w:pPr>
        <w:pStyle w:val="tacheseurasment"/>
        <w:spacing w:before="120"/>
        <w:jc w:val="both"/>
        <w:rPr>
          <w:i/>
          <w:iCs/>
          <w:sz w:val="18"/>
        </w:rPr>
      </w:pPr>
      <w:r w:rsidRPr="00626C64">
        <w:rPr>
          <w:i/>
          <w:iCs/>
          <w:sz w:val="18"/>
        </w:rPr>
        <w:t>Source : https://www.economie.gouv.fr/particuliers/</w:t>
      </w:r>
    </w:p>
    <w:p w14:paraId="11DCB09C" w14:textId="77777777" w:rsidR="008B7A14" w:rsidRPr="009F0D7C" w:rsidRDefault="008B7A14" w:rsidP="008B7A14">
      <w:pPr>
        <w:spacing w:before="120"/>
        <w:jc w:val="both"/>
        <w:rPr>
          <w:sz w:val="20"/>
          <w:szCs w:val="20"/>
        </w:rPr>
      </w:pPr>
      <w:r w:rsidRPr="009F0D7C">
        <w:rPr>
          <w:sz w:val="20"/>
          <w:szCs w:val="20"/>
        </w:rPr>
        <w:t>Vous venez d'acheter un produit et... vous vous apercevez qu'il ne fonctionne pas ou qu'il ne correspond pas à ce qu'on vous a décrit. Comment vous retourner vers le vendeur ? Pensez à faire appliquer la garantie légale de conformité pour vous faire rembourser ou remplacer le produit non-conforme ou défaillant !</w:t>
      </w:r>
    </w:p>
    <w:p w14:paraId="5A7011A2" w14:textId="77777777" w:rsidR="008B7A14" w:rsidRPr="008B7A14" w:rsidRDefault="008B7A14" w:rsidP="008B7A14">
      <w:pPr>
        <w:pStyle w:val="Titre3"/>
        <w:numPr>
          <w:ilvl w:val="0"/>
          <w:numId w:val="9"/>
        </w:numPr>
        <w:spacing w:before="120" w:after="40"/>
        <w:jc w:val="both"/>
        <w:rPr>
          <w:rFonts w:ascii="Arial" w:hAnsi="Arial" w:cs="Arial"/>
          <w:b/>
          <w:bCs/>
          <w:sz w:val="22"/>
          <w:szCs w:val="22"/>
        </w:rPr>
      </w:pPr>
      <w:r w:rsidRPr="008B7A14">
        <w:rPr>
          <w:rFonts w:ascii="Arial" w:hAnsi="Arial" w:cs="Arial"/>
          <w:b/>
          <w:bCs/>
          <w:sz w:val="22"/>
          <w:szCs w:val="22"/>
        </w:rPr>
        <w:lastRenderedPageBreak/>
        <w:t>Qu'est-ce que la garantie légale de conformité ?</w:t>
      </w:r>
    </w:p>
    <w:p w14:paraId="18616033" w14:textId="77777777" w:rsidR="008B7A14" w:rsidRDefault="008B7A14" w:rsidP="008B7A14">
      <w:pPr>
        <w:jc w:val="both"/>
        <w:rPr>
          <w:szCs w:val="20"/>
        </w:rPr>
      </w:pPr>
      <w:r w:rsidRPr="009F0D7C">
        <w:rPr>
          <w:sz w:val="20"/>
          <w:szCs w:val="20"/>
        </w:rPr>
        <w:t>C'est la garantie que peut faire valoir un consommateur contre des éventuelles défaillances d'un produit (défaut de conformité) qu’il a acheté, sans avoir à prouver que la défaillance technique n’est pas liée à l’usage qu’il en a fait. Autrement dit, aussi longtemps que court cette garantie, ce n’est pas au consommateur de prouver la faute du vendeur, présumé responsable.</w:t>
      </w:r>
    </w:p>
    <w:p w14:paraId="6AB45107" w14:textId="77777777" w:rsidR="008B7A14" w:rsidRPr="008B7A14" w:rsidRDefault="008B7A14" w:rsidP="008B7A14">
      <w:pPr>
        <w:pStyle w:val="Titre3"/>
        <w:numPr>
          <w:ilvl w:val="0"/>
          <w:numId w:val="9"/>
        </w:numPr>
        <w:spacing w:before="60" w:after="40"/>
        <w:jc w:val="both"/>
        <w:rPr>
          <w:rFonts w:ascii="Arial" w:hAnsi="Arial" w:cs="Arial"/>
          <w:b/>
          <w:bCs/>
          <w:sz w:val="22"/>
          <w:szCs w:val="22"/>
        </w:rPr>
      </w:pPr>
      <w:r w:rsidRPr="008B7A14">
        <w:rPr>
          <w:rFonts w:ascii="Arial" w:hAnsi="Arial" w:cs="Arial"/>
          <w:b/>
          <w:bCs/>
          <w:sz w:val="22"/>
          <w:szCs w:val="22"/>
        </w:rPr>
        <w:t>À quelles conditions s'applique-t-elle ?</w:t>
      </w:r>
    </w:p>
    <w:p w14:paraId="229564D8" w14:textId="77777777" w:rsidR="008B7A14" w:rsidRPr="009F0D7C" w:rsidRDefault="008B7A14" w:rsidP="008B7A14">
      <w:pPr>
        <w:pStyle w:val="Paragraphedeliste"/>
        <w:numPr>
          <w:ilvl w:val="0"/>
          <w:numId w:val="5"/>
        </w:numPr>
        <w:ind w:left="284" w:hanging="284"/>
        <w:jc w:val="both"/>
        <w:rPr>
          <w:szCs w:val="20"/>
        </w:rPr>
      </w:pPr>
      <w:proofErr w:type="gramStart"/>
      <w:r w:rsidRPr="009F0D7C">
        <w:rPr>
          <w:szCs w:val="20"/>
        </w:rPr>
        <w:t>la</w:t>
      </w:r>
      <w:proofErr w:type="gramEnd"/>
      <w:r w:rsidRPr="009F0D7C">
        <w:rPr>
          <w:szCs w:val="20"/>
        </w:rPr>
        <w:t xml:space="preserve"> garantie s'applique à condition que le défaut existe </w:t>
      </w:r>
      <w:r w:rsidRPr="009F0D7C">
        <w:rPr>
          <w:rStyle w:val="lev"/>
          <w:rFonts w:cs="Arial"/>
          <w:color w:val="000000"/>
          <w:szCs w:val="20"/>
          <w:bdr w:val="none" w:sz="0" w:space="0" w:color="auto" w:frame="1"/>
        </w:rPr>
        <w:t>à la date d'acquisition</w:t>
      </w:r>
      <w:r w:rsidRPr="009F0D7C">
        <w:rPr>
          <w:szCs w:val="20"/>
        </w:rPr>
        <w:t xml:space="preserve"> ;</w:t>
      </w:r>
    </w:p>
    <w:p w14:paraId="584A6A24" w14:textId="77777777" w:rsidR="008B7A14" w:rsidRPr="009F0D7C" w:rsidRDefault="008B7A14" w:rsidP="008B7A14">
      <w:pPr>
        <w:pStyle w:val="Paragraphedeliste"/>
        <w:numPr>
          <w:ilvl w:val="0"/>
          <w:numId w:val="5"/>
        </w:numPr>
        <w:ind w:left="284" w:hanging="284"/>
        <w:jc w:val="both"/>
        <w:rPr>
          <w:szCs w:val="20"/>
        </w:rPr>
      </w:pPr>
      <w:proofErr w:type="gramStart"/>
      <w:r w:rsidRPr="009F0D7C">
        <w:rPr>
          <w:szCs w:val="20"/>
        </w:rPr>
        <w:t>elle</w:t>
      </w:r>
      <w:proofErr w:type="gramEnd"/>
      <w:r w:rsidRPr="009F0D7C">
        <w:rPr>
          <w:szCs w:val="20"/>
        </w:rPr>
        <w:t xml:space="preserve"> porte uniquement sur les </w:t>
      </w:r>
      <w:r w:rsidRPr="009F0D7C">
        <w:rPr>
          <w:rStyle w:val="lev"/>
          <w:rFonts w:cs="Arial"/>
          <w:color w:val="000000"/>
          <w:szCs w:val="20"/>
          <w:bdr w:val="none" w:sz="0" w:space="0" w:color="auto" w:frame="1"/>
        </w:rPr>
        <w:t>biens mobiliers</w:t>
      </w:r>
      <w:r w:rsidRPr="009F0D7C">
        <w:rPr>
          <w:szCs w:val="20"/>
        </w:rPr>
        <w:t xml:space="preserve"> corporels neufs ou d'occasion (tels que les meubles, voitures, ordinateurs...), et la fourniture de biens à fabriquer ou à produire (telle la réalisation de meubles de cuisine ou de fenêtres sur mesure).</w:t>
      </w:r>
    </w:p>
    <w:p w14:paraId="39D6BF58" w14:textId="77777777" w:rsidR="008B7A14" w:rsidRPr="009F0D7C" w:rsidRDefault="008B7A14" w:rsidP="008B7A14">
      <w:pPr>
        <w:pStyle w:val="Paragraphedeliste"/>
        <w:numPr>
          <w:ilvl w:val="0"/>
          <w:numId w:val="5"/>
        </w:numPr>
        <w:ind w:left="284" w:hanging="284"/>
        <w:jc w:val="both"/>
        <w:rPr>
          <w:szCs w:val="20"/>
        </w:rPr>
      </w:pPr>
      <w:proofErr w:type="gramStart"/>
      <w:r w:rsidRPr="009F0D7C">
        <w:rPr>
          <w:szCs w:val="20"/>
        </w:rPr>
        <w:t>la</w:t>
      </w:r>
      <w:proofErr w:type="gramEnd"/>
      <w:r w:rsidRPr="009F0D7C">
        <w:rPr>
          <w:szCs w:val="20"/>
        </w:rPr>
        <w:t xml:space="preserve"> garantie de conformité ne s'applique </w:t>
      </w:r>
      <w:r w:rsidRPr="009F0D7C">
        <w:rPr>
          <w:rStyle w:val="lev"/>
          <w:rFonts w:cs="Arial"/>
          <w:color w:val="000000"/>
          <w:szCs w:val="20"/>
          <w:bdr w:val="none" w:sz="0" w:space="0" w:color="auto" w:frame="1"/>
        </w:rPr>
        <w:t>que si le vendeur est un professionnel</w:t>
      </w:r>
      <w:r w:rsidRPr="009F0D7C">
        <w:rPr>
          <w:szCs w:val="20"/>
        </w:rPr>
        <w:t>. Elle ne s'applique donc pas aux biens vendus entre particuliers, par autorité de justice ou dans les enchères publiques.</w:t>
      </w:r>
    </w:p>
    <w:p w14:paraId="7E776BC1" w14:textId="77777777" w:rsidR="008B7A14" w:rsidRPr="008B7A14" w:rsidRDefault="008B7A14" w:rsidP="008B7A14">
      <w:pPr>
        <w:pStyle w:val="Titre3"/>
        <w:numPr>
          <w:ilvl w:val="0"/>
          <w:numId w:val="9"/>
        </w:numPr>
        <w:spacing w:before="60" w:after="40"/>
        <w:jc w:val="both"/>
        <w:rPr>
          <w:rFonts w:ascii="Arial" w:hAnsi="Arial" w:cs="Arial"/>
          <w:b/>
          <w:bCs/>
          <w:sz w:val="22"/>
          <w:szCs w:val="22"/>
        </w:rPr>
      </w:pPr>
      <w:r w:rsidRPr="008B7A14">
        <w:rPr>
          <w:rFonts w:ascii="Arial" w:hAnsi="Arial" w:cs="Arial"/>
          <w:b/>
          <w:bCs/>
          <w:sz w:val="22"/>
          <w:szCs w:val="22"/>
        </w:rPr>
        <w:t>Qu'est-ce qu'un défaut de conformité ?</w:t>
      </w:r>
    </w:p>
    <w:p w14:paraId="466DD4AE" w14:textId="77777777" w:rsidR="008B7A14" w:rsidRPr="009F0D7C" w:rsidRDefault="008B7A14" w:rsidP="008B7A14">
      <w:pPr>
        <w:pStyle w:val="Paragraphedeliste"/>
        <w:numPr>
          <w:ilvl w:val="0"/>
          <w:numId w:val="6"/>
        </w:numPr>
        <w:ind w:left="284" w:hanging="284"/>
        <w:jc w:val="both"/>
        <w:rPr>
          <w:szCs w:val="20"/>
        </w:rPr>
      </w:pPr>
      <w:r w:rsidRPr="009F0D7C">
        <w:rPr>
          <w:szCs w:val="20"/>
        </w:rPr>
        <w:t xml:space="preserve">Le bien n’est </w:t>
      </w:r>
      <w:r w:rsidRPr="009F0D7C">
        <w:rPr>
          <w:rStyle w:val="lev"/>
          <w:rFonts w:cs="Arial"/>
          <w:color w:val="000000"/>
          <w:szCs w:val="20"/>
          <w:bdr w:val="none" w:sz="0" w:space="0" w:color="auto" w:frame="1"/>
        </w:rPr>
        <w:t>pas conforme</w:t>
      </w:r>
      <w:r w:rsidRPr="009F0D7C">
        <w:rPr>
          <w:szCs w:val="20"/>
        </w:rPr>
        <w:t xml:space="preserve"> à la description donnée par le vendeur et ne possède pas les qualités que le vendeur vous a présenté sous forme d'échantillon ou de modèle ;</w:t>
      </w:r>
    </w:p>
    <w:p w14:paraId="7E8503EE" w14:textId="77777777" w:rsidR="008B7A14" w:rsidRPr="009F0D7C" w:rsidRDefault="008B7A14" w:rsidP="008B7A14">
      <w:pPr>
        <w:pStyle w:val="Paragraphedeliste"/>
        <w:numPr>
          <w:ilvl w:val="0"/>
          <w:numId w:val="6"/>
        </w:numPr>
        <w:ind w:left="284" w:hanging="284"/>
        <w:jc w:val="both"/>
        <w:rPr>
          <w:szCs w:val="20"/>
        </w:rPr>
      </w:pPr>
      <w:proofErr w:type="gramStart"/>
      <w:r w:rsidRPr="009F0D7C">
        <w:rPr>
          <w:szCs w:val="20"/>
        </w:rPr>
        <w:t>le</w:t>
      </w:r>
      <w:proofErr w:type="gramEnd"/>
      <w:r w:rsidRPr="009F0D7C">
        <w:rPr>
          <w:szCs w:val="20"/>
        </w:rPr>
        <w:t xml:space="preserve"> bien est </w:t>
      </w:r>
      <w:r w:rsidRPr="009F0D7C">
        <w:rPr>
          <w:rStyle w:val="lev"/>
          <w:rFonts w:cs="Arial"/>
          <w:color w:val="000000"/>
          <w:szCs w:val="20"/>
          <w:bdr w:val="none" w:sz="0" w:space="0" w:color="auto" w:frame="1"/>
        </w:rPr>
        <w:t>impropre aux usages</w:t>
      </w:r>
      <w:r w:rsidRPr="009F0D7C">
        <w:rPr>
          <w:szCs w:val="20"/>
        </w:rPr>
        <w:t xml:space="preserve"> auxquels servent habituellement les biens du même type ;</w:t>
      </w:r>
    </w:p>
    <w:p w14:paraId="4FF4B0CE" w14:textId="77777777" w:rsidR="008B7A14" w:rsidRPr="009F0D7C" w:rsidRDefault="008B7A14" w:rsidP="008B7A14">
      <w:pPr>
        <w:pStyle w:val="Paragraphedeliste"/>
        <w:numPr>
          <w:ilvl w:val="0"/>
          <w:numId w:val="6"/>
        </w:numPr>
        <w:ind w:left="284" w:hanging="284"/>
        <w:jc w:val="both"/>
        <w:rPr>
          <w:szCs w:val="20"/>
        </w:rPr>
      </w:pPr>
      <w:proofErr w:type="gramStart"/>
      <w:r w:rsidRPr="009F0D7C">
        <w:rPr>
          <w:szCs w:val="20"/>
        </w:rPr>
        <w:t>le</w:t>
      </w:r>
      <w:proofErr w:type="gramEnd"/>
      <w:r w:rsidRPr="009F0D7C">
        <w:rPr>
          <w:szCs w:val="20"/>
        </w:rPr>
        <w:t xml:space="preserve"> bien présente un </w:t>
      </w:r>
      <w:r w:rsidRPr="009F0D7C">
        <w:rPr>
          <w:rStyle w:val="lev"/>
          <w:rFonts w:cs="Arial"/>
          <w:color w:val="000000"/>
          <w:szCs w:val="20"/>
          <w:bdr w:val="none" w:sz="0" w:space="0" w:color="auto" w:frame="1"/>
        </w:rPr>
        <w:t>défaut de fabrication</w:t>
      </w:r>
      <w:r w:rsidRPr="009F0D7C">
        <w:rPr>
          <w:szCs w:val="20"/>
        </w:rPr>
        <w:t>, une imperfection, un mauvais assemblage.</w:t>
      </w:r>
    </w:p>
    <w:p w14:paraId="792FA5AD" w14:textId="77777777" w:rsidR="008B7A14" w:rsidRPr="009F0D7C" w:rsidRDefault="008B7A14" w:rsidP="008B7A14">
      <w:pPr>
        <w:pStyle w:val="Paragraphedeliste"/>
        <w:numPr>
          <w:ilvl w:val="0"/>
          <w:numId w:val="6"/>
        </w:numPr>
        <w:ind w:left="284" w:hanging="284"/>
        <w:jc w:val="both"/>
        <w:rPr>
          <w:szCs w:val="20"/>
        </w:rPr>
      </w:pPr>
      <w:r w:rsidRPr="009F0D7C">
        <w:rPr>
          <w:szCs w:val="20"/>
        </w:rPr>
        <w:t>Toutefois, le vendeur peut combattre cette présomption en démontrant par exemple que le défaut constaté ne vient pas du produit mais d’une mauvaise utilisation de celui-ci. Passé le délai couvert par la garantie, le consommateur devra alors apporter la preuve du défaut de conformité et une expertise pourra être nécessaire.</w:t>
      </w:r>
    </w:p>
    <w:p w14:paraId="33F3CBB2" w14:textId="77777777" w:rsidR="008B7A14" w:rsidRPr="008B7A14" w:rsidRDefault="008B7A14" w:rsidP="008B7A14">
      <w:pPr>
        <w:pStyle w:val="Titre3"/>
        <w:numPr>
          <w:ilvl w:val="0"/>
          <w:numId w:val="9"/>
        </w:numPr>
        <w:spacing w:before="60" w:after="40"/>
        <w:jc w:val="both"/>
        <w:rPr>
          <w:rFonts w:ascii="Arial" w:hAnsi="Arial" w:cs="Arial"/>
          <w:b/>
          <w:bCs/>
          <w:sz w:val="22"/>
          <w:szCs w:val="22"/>
        </w:rPr>
      </w:pPr>
      <w:r w:rsidRPr="008B7A14">
        <w:rPr>
          <w:rFonts w:ascii="Arial" w:hAnsi="Arial" w:cs="Arial"/>
          <w:b/>
          <w:bCs/>
          <w:sz w:val="22"/>
          <w:szCs w:val="22"/>
        </w:rPr>
        <w:t>Que couvre la garantie légale de conformité ?</w:t>
      </w:r>
    </w:p>
    <w:p w14:paraId="2ADA2A3B" w14:textId="77777777" w:rsidR="008B7A14" w:rsidRPr="009F0D7C" w:rsidRDefault="008B7A14" w:rsidP="008B7A14">
      <w:pPr>
        <w:jc w:val="both"/>
        <w:rPr>
          <w:sz w:val="20"/>
          <w:szCs w:val="20"/>
        </w:rPr>
      </w:pPr>
      <w:r w:rsidRPr="009F0D7C">
        <w:rPr>
          <w:sz w:val="20"/>
          <w:szCs w:val="20"/>
        </w:rPr>
        <w:t>Cette garantie couvre les défauts de conformité : du bien ; de l'emballage ; des instructions de montage ; de l'installation lorsque celle-ci a été faite par le vendeur ou réalisée sous sa responsabilité.</w:t>
      </w:r>
    </w:p>
    <w:p w14:paraId="0E92E69D" w14:textId="77777777" w:rsidR="008B7A14" w:rsidRPr="008B7A14" w:rsidRDefault="008B7A14" w:rsidP="008B7A14">
      <w:pPr>
        <w:pStyle w:val="Titre3"/>
        <w:numPr>
          <w:ilvl w:val="0"/>
          <w:numId w:val="9"/>
        </w:numPr>
        <w:spacing w:before="60" w:after="40"/>
        <w:jc w:val="both"/>
        <w:rPr>
          <w:rFonts w:ascii="Arial" w:hAnsi="Arial" w:cs="Arial"/>
          <w:b/>
          <w:bCs/>
          <w:sz w:val="22"/>
          <w:szCs w:val="22"/>
        </w:rPr>
      </w:pPr>
      <w:r w:rsidRPr="008B7A14">
        <w:rPr>
          <w:rFonts w:ascii="Arial" w:hAnsi="Arial" w:cs="Arial"/>
          <w:b/>
          <w:bCs/>
          <w:sz w:val="22"/>
          <w:szCs w:val="22"/>
        </w:rPr>
        <w:t>Quelles solutions pour la mise en conformité ?</w:t>
      </w:r>
    </w:p>
    <w:p w14:paraId="34A5CBF5" w14:textId="77777777" w:rsidR="008B7A14" w:rsidRPr="009F0D7C" w:rsidRDefault="008B7A14" w:rsidP="008B7A14">
      <w:pPr>
        <w:jc w:val="both"/>
        <w:rPr>
          <w:sz w:val="20"/>
          <w:szCs w:val="20"/>
        </w:rPr>
      </w:pPr>
      <w:r w:rsidRPr="009F0D7C">
        <w:rPr>
          <w:sz w:val="20"/>
          <w:szCs w:val="20"/>
        </w:rPr>
        <w:t>La garantie légale de conformité permet de demander au vendeur la réparation ou le remplacement du bien. Si la réparation et le remplacement du bien sont impossibles, le consommateur peut rendre le bien et se faire restituer le prix ou bien le garder et se faire restituer une partie du prix.</w:t>
      </w:r>
    </w:p>
    <w:p w14:paraId="578E5550" w14:textId="77777777" w:rsidR="008B7A14" w:rsidRPr="009F0D7C" w:rsidRDefault="008B7A14" w:rsidP="008B7A14">
      <w:pPr>
        <w:jc w:val="both"/>
        <w:rPr>
          <w:sz w:val="20"/>
          <w:szCs w:val="20"/>
        </w:rPr>
      </w:pPr>
      <w:r w:rsidRPr="009F0D7C">
        <w:rPr>
          <w:sz w:val="20"/>
          <w:szCs w:val="20"/>
        </w:rPr>
        <w:t>Le vendeur professionnel est seul responsable de la garantie de conformité vis-à-vis de son client. Il ne peut le renvoyer vers le fabricant. Mais le vendeur peut éventuellement se retourner ensuite contre son fournisseur ou le fabricant du produit.</w:t>
      </w:r>
    </w:p>
    <w:bookmarkEnd w:id="1"/>
    <w:p w14:paraId="0A6BB9B4" w14:textId="77777777" w:rsidR="008B7A14" w:rsidRPr="009F0D7C" w:rsidRDefault="008B7A14" w:rsidP="008B7A14">
      <w:pPr>
        <w:pStyle w:val="tacheseurasment"/>
        <w:spacing w:before="120"/>
        <w:jc w:val="both"/>
        <w:rPr>
          <w:sz w:val="22"/>
          <w:szCs w:val="28"/>
        </w:rPr>
      </w:pPr>
    </w:p>
    <w:p w14:paraId="01D59B03" w14:textId="3E13247C" w:rsidR="00792AE8" w:rsidRDefault="0028516D" w:rsidP="00792AE8">
      <w:pPr>
        <w:pStyle w:val="tacheseurasment"/>
        <w:spacing w:before="120" w:after="120"/>
        <w:jc w:val="both"/>
        <w:rPr>
          <w:b/>
          <w:sz w:val="24"/>
        </w:rPr>
      </w:pPr>
      <w:r>
        <w:rPr>
          <w:b/>
          <w:sz w:val="24"/>
        </w:rPr>
        <w:t>Réponses</w:t>
      </w:r>
    </w:p>
    <w:p w14:paraId="2BEC8AC4" w14:textId="577E4EDE" w:rsidR="00792AE8" w:rsidRPr="008B7A14" w:rsidRDefault="00792AE8" w:rsidP="00792AE8">
      <w:pPr>
        <w:pStyle w:val="tacheseurasment"/>
        <w:numPr>
          <w:ilvl w:val="0"/>
          <w:numId w:val="1"/>
        </w:numPr>
        <w:jc w:val="both"/>
        <w:rPr>
          <w:b/>
          <w:sz w:val="22"/>
          <w:szCs w:val="28"/>
        </w:rPr>
      </w:pPr>
      <w:r w:rsidRPr="008B7A14">
        <w:rPr>
          <w:b/>
          <w:sz w:val="22"/>
          <w:szCs w:val="28"/>
        </w:rPr>
        <w:t>Expliquez dans une courte note à M. Solliet la différence entre la garantie légale de conformité et la garantie contre les vices cachés. Vous pouvez vous aider des document 1 et 2).</w:t>
      </w:r>
    </w:p>
    <w:p w14:paraId="2C94459D" w14:textId="77777777" w:rsidR="00792AE8" w:rsidRDefault="00792AE8" w:rsidP="00792AE8">
      <w:pPr>
        <w:pStyle w:val="tacheseurasment"/>
        <w:jc w:val="both"/>
        <w:rPr>
          <w:b/>
        </w:rPr>
      </w:pPr>
    </w:p>
    <w:p w14:paraId="4F3F6BA8" w14:textId="77777777" w:rsidR="00792AE8" w:rsidRDefault="00792AE8" w:rsidP="00792AE8">
      <w:pPr>
        <w:pStyle w:val="tacheseurasment"/>
        <w:jc w:val="both"/>
        <w:rPr>
          <w:b/>
        </w:rPr>
      </w:pPr>
    </w:p>
    <w:p w14:paraId="4F11DAC8" w14:textId="77777777" w:rsidR="00792AE8" w:rsidRDefault="00792AE8" w:rsidP="00792AE8">
      <w:pPr>
        <w:pStyle w:val="tacheseurasment"/>
        <w:jc w:val="both"/>
        <w:rPr>
          <w:b/>
        </w:rPr>
      </w:pPr>
    </w:p>
    <w:p w14:paraId="7B0300D2" w14:textId="77777777" w:rsidR="00792AE8" w:rsidRDefault="00792AE8" w:rsidP="00792AE8">
      <w:pPr>
        <w:pStyle w:val="tacheseurasment"/>
        <w:jc w:val="both"/>
        <w:rPr>
          <w:b/>
        </w:rPr>
      </w:pPr>
    </w:p>
    <w:p w14:paraId="3D437425" w14:textId="77777777" w:rsidR="00792AE8" w:rsidRDefault="00792AE8" w:rsidP="00792AE8">
      <w:pPr>
        <w:pStyle w:val="tacheseurasment"/>
        <w:jc w:val="both"/>
        <w:rPr>
          <w:b/>
        </w:rPr>
      </w:pPr>
    </w:p>
    <w:p w14:paraId="5FCB9305" w14:textId="77777777" w:rsidR="00792AE8" w:rsidRDefault="00792AE8" w:rsidP="00792AE8">
      <w:pPr>
        <w:pStyle w:val="tacheseurasment"/>
        <w:jc w:val="both"/>
        <w:rPr>
          <w:b/>
        </w:rPr>
      </w:pPr>
    </w:p>
    <w:p w14:paraId="1FD41005" w14:textId="77777777" w:rsidR="00792AE8" w:rsidRPr="00792AE8" w:rsidRDefault="00792AE8" w:rsidP="00792AE8">
      <w:pPr>
        <w:pStyle w:val="tacheseurasment"/>
        <w:jc w:val="both"/>
        <w:rPr>
          <w:b/>
        </w:rPr>
      </w:pPr>
    </w:p>
    <w:p w14:paraId="25774431" w14:textId="77777777" w:rsidR="00792AE8" w:rsidRPr="008B7A14" w:rsidRDefault="00792AE8" w:rsidP="00792AE8">
      <w:pPr>
        <w:pStyle w:val="tacheseurasment"/>
        <w:numPr>
          <w:ilvl w:val="0"/>
          <w:numId w:val="1"/>
        </w:numPr>
        <w:jc w:val="both"/>
        <w:rPr>
          <w:b/>
          <w:sz w:val="22"/>
          <w:szCs w:val="28"/>
        </w:rPr>
      </w:pPr>
      <w:r w:rsidRPr="008B7A14">
        <w:rPr>
          <w:b/>
          <w:sz w:val="22"/>
          <w:szCs w:val="28"/>
        </w:rPr>
        <w:t>La garantie pour vice caché peut-elle fonctionner dans cette situation ?</w:t>
      </w:r>
    </w:p>
    <w:p w14:paraId="6B7FE45D" w14:textId="77777777" w:rsidR="00792AE8" w:rsidRDefault="00792AE8" w:rsidP="00792AE8">
      <w:pPr>
        <w:pStyle w:val="tacheseurasment"/>
        <w:jc w:val="both"/>
        <w:rPr>
          <w:b/>
        </w:rPr>
      </w:pPr>
    </w:p>
    <w:p w14:paraId="2468B873" w14:textId="77777777" w:rsidR="00792AE8" w:rsidRDefault="00792AE8" w:rsidP="00792AE8">
      <w:pPr>
        <w:pStyle w:val="tacheseurasment"/>
        <w:jc w:val="both"/>
        <w:rPr>
          <w:b/>
        </w:rPr>
      </w:pPr>
    </w:p>
    <w:p w14:paraId="6078E692" w14:textId="77777777" w:rsidR="00792AE8" w:rsidRDefault="00792AE8" w:rsidP="00792AE8">
      <w:pPr>
        <w:pStyle w:val="tacheseurasment"/>
        <w:jc w:val="both"/>
        <w:rPr>
          <w:b/>
        </w:rPr>
      </w:pPr>
    </w:p>
    <w:p w14:paraId="1932643B" w14:textId="77777777" w:rsidR="00792AE8" w:rsidRDefault="00792AE8" w:rsidP="00792AE8">
      <w:pPr>
        <w:pStyle w:val="tacheseurasment"/>
        <w:jc w:val="both"/>
        <w:rPr>
          <w:b/>
        </w:rPr>
      </w:pPr>
    </w:p>
    <w:p w14:paraId="3D3BE235" w14:textId="77777777" w:rsidR="00792AE8" w:rsidRDefault="00792AE8" w:rsidP="00792AE8">
      <w:pPr>
        <w:pStyle w:val="tacheseurasment"/>
        <w:jc w:val="both"/>
        <w:rPr>
          <w:b/>
        </w:rPr>
      </w:pPr>
    </w:p>
    <w:p w14:paraId="3D61DCA0" w14:textId="77777777" w:rsidR="00792AE8" w:rsidRDefault="00792AE8" w:rsidP="00792AE8">
      <w:pPr>
        <w:pStyle w:val="tacheseurasment"/>
        <w:jc w:val="both"/>
        <w:rPr>
          <w:b/>
        </w:rPr>
      </w:pPr>
    </w:p>
    <w:p w14:paraId="6E59CA00" w14:textId="77777777" w:rsidR="00792AE8" w:rsidRPr="00792AE8" w:rsidRDefault="00792AE8" w:rsidP="00792AE8">
      <w:pPr>
        <w:pStyle w:val="tacheseurasment"/>
        <w:jc w:val="both"/>
        <w:rPr>
          <w:b/>
        </w:rPr>
      </w:pPr>
    </w:p>
    <w:p w14:paraId="05A76714" w14:textId="4B54E8AA" w:rsidR="00792AE8" w:rsidRPr="008B7A14" w:rsidRDefault="00792AE8" w:rsidP="00792AE8">
      <w:pPr>
        <w:pStyle w:val="tacheseurasment"/>
        <w:numPr>
          <w:ilvl w:val="0"/>
          <w:numId w:val="1"/>
        </w:numPr>
        <w:jc w:val="both"/>
        <w:rPr>
          <w:b/>
          <w:sz w:val="22"/>
          <w:szCs w:val="28"/>
        </w:rPr>
      </w:pPr>
      <w:r w:rsidRPr="008B7A14">
        <w:rPr>
          <w:b/>
          <w:sz w:val="22"/>
          <w:szCs w:val="28"/>
        </w:rPr>
        <w:t>Quelle solution préconisez-vous à M. Solliet</w:t>
      </w:r>
      <w:r w:rsidR="0028516D" w:rsidRPr="008B7A14">
        <w:rPr>
          <w:b/>
          <w:sz w:val="22"/>
          <w:szCs w:val="28"/>
        </w:rPr>
        <w:t> ?</w:t>
      </w:r>
    </w:p>
    <w:p w14:paraId="022A0E29" w14:textId="77777777" w:rsidR="00BF37FA" w:rsidRPr="00792AE8" w:rsidRDefault="00BF37FA" w:rsidP="00792AE8"/>
    <w:sectPr w:rsidR="00BF37FA" w:rsidRPr="00792AE8" w:rsidSect="00792AE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60D"/>
    <w:multiLevelType w:val="hybridMultilevel"/>
    <w:tmpl w:val="54BC0B60"/>
    <w:lvl w:ilvl="0" w:tplc="220445C4">
      <w:start w:val="11"/>
      <w:numFmt w:val="bullet"/>
      <w:lvlText w:val="-"/>
      <w:lvlJc w:val="left"/>
      <w:pPr>
        <w:ind w:left="360" w:hanging="360"/>
      </w:pPr>
      <w:rPr>
        <w:rFonts w:ascii="Arial" w:eastAsia="Times New Roman" w:hAnsi="Arial" w:cs="Arial" w:hint="default"/>
        <w:b/>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3B24F62"/>
    <w:multiLevelType w:val="hybridMultilevel"/>
    <w:tmpl w:val="5EB60254"/>
    <w:lvl w:ilvl="0" w:tplc="220445C4">
      <w:start w:val="11"/>
      <w:numFmt w:val="bullet"/>
      <w:lvlText w:val="-"/>
      <w:lvlJc w:val="left"/>
      <w:pPr>
        <w:ind w:left="360" w:hanging="360"/>
      </w:pPr>
      <w:rPr>
        <w:rFonts w:ascii="Arial" w:eastAsia="Times New Roman" w:hAnsi="Arial" w:cs="Arial" w:hint="default"/>
        <w:b/>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296964B1"/>
    <w:multiLevelType w:val="hybridMultilevel"/>
    <w:tmpl w:val="2FC61E82"/>
    <w:lvl w:ilvl="0" w:tplc="220445C4">
      <w:start w:val="11"/>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6F509DA"/>
    <w:multiLevelType w:val="hybridMultilevel"/>
    <w:tmpl w:val="CFAED5D6"/>
    <w:lvl w:ilvl="0" w:tplc="040C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1C41AD1"/>
    <w:multiLevelType w:val="hybridMultilevel"/>
    <w:tmpl w:val="EB1A073E"/>
    <w:lvl w:ilvl="0" w:tplc="220445C4">
      <w:start w:val="11"/>
      <w:numFmt w:val="bullet"/>
      <w:lvlText w:val="-"/>
      <w:lvlJc w:val="left"/>
      <w:pPr>
        <w:ind w:left="360" w:hanging="360"/>
      </w:pPr>
      <w:rPr>
        <w:rFonts w:ascii="Arial" w:eastAsia="Times New Roman" w:hAnsi="Arial" w:cs="Arial" w:hint="default"/>
        <w:b/>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64695073"/>
    <w:multiLevelType w:val="hybridMultilevel"/>
    <w:tmpl w:val="41829662"/>
    <w:lvl w:ilvl="0" w:tplc="2EC0C706">
      <w:start w:val="1"/>
      <w:numFmt w:val="decimal"/>
      <w:lvlText w:val="%1."/>
      <w:lvlJc w:val="left"/>
      <w:pPr>
        <w:ind w:left="360" w:hanging="360"/>
      </w:p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6" w15:restartNumberingAfterBreak="0">
    <w:nsid w:val="6B8A4EB5"/>
    <w:multiLevelType w:val="hybridMultilevel"/>
    <w:tmpl w:val="7D4C354C"/>
    <w:lvl w:ilvl="0" w:tplc="220445C4">
      <w:start w:val="11"/>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664A0F"/>
    <w:multiLevelType w:val="hybridMultilevel"/>
    <w:tmpl w:val="B42EE62C"/>
    <w:lvl w:ilvl="0" w:tplc="220445C4">
      <w:start w:val="11"/>
      <w:numFmt w:val="bullet"/>
      <w:lvlText w:val="-"/>
      <w:lvlJc w:val="left"/>
      <w:pPr>
        <w:ind w:left="360" w:hanging="360"/>
      </w:pPr>
      <w:rPr>
        <w:rFonts w:ascii="Arial" w:eastAsia="Times New Roman" w:hAnsi="Arial" w:cs="Arial" w:hint="default"/>
        <w:b/>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266012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404450">
    <w:abstractNumId w:val="1"/>
  </w:num>
  <w:num w:numId="3" w16cid:durableId="60255774">
    <w:abstractNumId w:val="7"/>
  </w:num>
  <w:num w:numId="4" w16cid:durableId="382408111">
    <w:abstractNumId w:val="2"/>
  </w:num>
  <w:num w:numId="5" w16cid:durableId="455298650">
    <w:abstractNumId w:val="4"/>
  </w:num>
  <w:num w:numId="6" w16cid:durableId="1995403943">
    <w:abstractNumId w:val="0"/>
  </w:num>
  <w:num w:numId="7" w16cid:durableId="673000117">
    <w:abstractNumId w:val="5"/>
  </w:num>
  <w:num w:numId="8" w16cid:durableId="653219511">
    <w:abstractNumId w:val="6"/>
  </w:num>
  <w:num w:numId="9" w16cid:durableId="610018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80"/>
    <w:rsid w:val="001D01AA"/>
    <w:rsid w:val="002006C1"/>
    <w:rsid w:val="0028516D"/>
    <w:rsid w:val="004F7EF8"/>
    <w:rsid w:val="007617A7"/>
    <w:rsid w:val="00792AE8"/>
    <w:rsid w:val="00845B80"/>
    <w:rsid w:val="008638D8"/>
    <w:rsid w:val="008B2381"/>
    <w:rsid w:val="008B7A14"/>
    <w:rsid w:val="00944A38"/>
    <w:rsid w:val="00994500"/>
    <w:rsid w:val="00BD5FDA"/>
    <w:rsid w:val="00BF3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846F"/>
  <w15:chartTrackingRefBased/>
  <w15:docId w15:val="{3CF108A7-230C-43B6-88B5-60F650E9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80"/>
    <w:pPr>
      <w:spacing w:after="0" w:line="240" w:lineRule="auto"/>
    </w:pPr>
    <w:rPr>
      <w:rFonts w:ascii="Arial" w:eastAsia="Calibri" w:hAnsi="Arial" w:cs="Times New Roman"/>
    </w:rPr>
  </w:style>
  <w:style w:type="paragraph" w:styleId="Titre2">
    <w:name w:val="heading 2"/>
    <w:basedOn w:val="tacheseurasment"/>
    <w:link w:val="Titre2Car"/>
    <w:uiPriority w:val="9"/>
    <w:qFormat/>
    <w:rsid w:val="00845B80"/>
    <w:pPr>
      <w:spacing w:after="120"/>
      <w:outlineLvl w:val="1"/>
    </w:pPr>
    <w:rPr>
      <w:rFonts w:cs="Arial"/>
      <w:b/>
      <w:color w:val="000000"/>
      <w:sz w:val="28"/>
      <w:szCs w:val="20"/>
    </w:rPr>
  </w:style>
  <w:style w:type="paragraph" w:styleId="Titre3">
    <w:name w:val="heading 3"/>
    <w:basedOn w:val="Normal"/>
    <w:next w:val="Normal"/>
    <w:link w:val="Titre3Car"/>
    <w:uiPriority w:val="9"/>
    <w:semiHidden/>
    <w:unhideWhenUsed/>
    <w:qFormat/>
    <w:rsid w:val="004F7EF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5B80"/>
    <w:rPr>
      <w:rFonts w:ascii="Arial" w:eastAsia="Times New Roman" w:hAnsi="Arial" w:cs="Arial"/>
      <w:b/>
      <w:color w:val="000000"/>
      <w:sz w:val="28"/>
      <w:szCs w:val="20"/>
      <w:lang w:eastAsia="fr-FR"/>
    </w:rPr>
  </w:style>
  <w:style w:type="paragraph" w:customStyle="1" w:styleId="tacheseurasment">
    <w:name w:val="taches eurasment"/>
    <w:basedOn w:val="Normal"/>
    <w:rsid w:val="00845B80"/>
    <w:rPr>
      <w:rFonts w:eastAsia="Times New Roman"/>
      <w:sz w:val="20"/>
      <w:szCs w:val="24"/>
      <w:lang w:eastAsia="fr-FR"/>
    </w:rPr>
  </w:style>
  <w:style w:type="character" w:customStyle="1" w:styleId="Titre3Car">
    <w:name w:val="Titre 3 Car"/>
    <w:basedOn w:val="Policepardfaut"/>
    <w:link w:val="Titre3"/>
    <w:uiPriority w:val="9"/>
    <w:semiHidden/>
    <w:rsid w:val="004F7EF8"/>
    <w:rPr>
      <w:rFonts w:asciiTheme="majorHAnsi" w:eastAsiaTheme="majorEastAsia" w:hAnsiTheme="majorHAnsi" w:cstheme="majorBidi"/>
      <w:color w:val="1F4D78" w:themeColor="accent1" w:themeShade="7F"/>
      <w:sz w:val="24"/>
      <w:szCs w:val="24"/>
    </w:rPr>
  </w:style>
  <w:style w:type="character" w:styleId="lev">
    <w:name w:val="Strong"/>
    <w:aliases w:val="a texte"/>
    <w:uiPriority w:val="22"/>
    <w:qFormat/>
    <w:rsid w:val="004F7EF8"/>
    <w:rPr>
      <w:b/>
      <w:bCs/>
    </w:rPr>
  </w:style>
  <w:style w:type="paragraph" w:styleId="Paragraphedeliste">
    <w:name w:val="List Paragraph"/>
    <w:basedOn w:val="Normal"/>
    <w:uiPriority w:val="34"/>
    <w:qFormat/>
    <w:rsid w:val="004F7EF8"/>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919</Words>
  <Characters>5058</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11</cp:revision>
  <dcterms:created xsi:type="dcterms:W3CDTF">2015-01-01T21:42:00Z</dcterms:created>
  <dcterms:modified xsi:type="dcterms:W3CDTF">2025-11-13T22:11:00Z</dcterms:modified>
</cp:coreProperties>
</file>