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8"/>
        <w:gridCol w:w="7655"/>
        <w:gridCol w:w="1047"/>
      </w:tblGrid>
      <w:tr w:rsidR="001F7D9C" w:rsidRPr="00AC05C0" w14:paraId="6CB3F51A" w14:textId="77777777" w:rsidTr="00AA05D9">
        <w:trPr>
          <w:trHeight w:val="386"/>
        </w:trPr>
        <w:tc>
          <w:tcPr>
            <w:tcW w:w="10120" w:type="dxa"/>
            <w:gridSpan w:val="3"/>
            <w:shd w:val="clear" w:color="auto" w:fill="FFFF00"/>
          </w:tcPr>
          <w:p w14:paraId="33A2195E" w14:textId="77777777" w:rsidR="001F7D9C" w:rsidRPr="003F52C5" w:rsidRDefault="001F7D9C" w:rsidP="00AA05D9">
            <w:pPr>
              <w:pStyle w:val="Titre2"/>
              <w:spacing w:before="120"/>
              <w:jc w:val="center"/>
              <w:rPr>
                <w:szCs w:val="22"/>
              </w:rPr>
            </w:pPr>
            <w:bookmarkStart w:id="0" w:name="_Hlk27584444"/>
            <w:r w:rsidRPr="003F52C5">
              <w:rPr>
                <w:szCs w:val="22"/>
              </w:rPr>
              <w:t>Réflexion 2 - Identifier les risques à l'exportation</w:t>
            </w:r>
          </w:p>
        </w:tc>
      </w:tr>
      <w:tr w:rsidR="001F7D9C" w:rsidRPr="00C22356" w14:paraId="02C8A5F5" w14:textId="77777777" w:rsidTr="00AA05D9">
        <w:trPr>
          <w:trHeight w:val="386"/>
        </w:trPr>
        <w:tc>
          <w:tcPr>
            <w:tcW w:w="1418" w:type="dxa"/>
            <w:shd w:val="clear" w:color="auto" w:fill="FFFF00"/>
            <w:vAlign w:val="center"/>
          </w:tcPr>
          <w:p w14:paraId="4ECECB00" w14:textId="77777777" w:rsidR="001F7D9C" w:rsidRPr="006C7177" w:rsidRDefault="001F7D9C" w:rsidP="00AA05D9">
            <w:r w:rsidRPr="006C7177">
              <w:t xml:space="preserve">Durée : </w:t>
            </w:r>
            <w:r>
              <w:t>20’</w:t>
            </w:r>
          </w:p>
        </w:tc>
        <w:tc>
          <w:tcPr>
            <w:tcW w:w="7655" w:type="dxa"/>
            <w:shd w:val="clear" w:color="auto" w:fill="FFFF00"/>
          </w:tcPr>
          <w:p w14:paraId="6E4E8FD8" w14:textId="77777777" w:rsidR="001F7D9C" w:rsidRPr="006C7177" w:rsidRDefault="001F7D9C" w:rsidP="00AA05D9">
            <w:pPr>
              <w:jc w:val="center"/>
            </w:pPr>
            <w:r>
              <w:rPr>
                <w:noProof/>
              </w:rPr>
              <w:drawing>
                <wp:inline distT="0" distB="0" distL="0" distR="0" wp14:anchorId="5B9219A5" wp14:editId="0EEEB466">
                  <wp:extent cx="324000" cy="324000"/>
                  <wp:effectExtent l="0" t="0" r="0" b="0"/>
                  <wp:docPr id="74" name="Graphique 7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768B5E48" wp14:editId="5BACD6F5">
                  <wp:extent cx="360000" cy="360000"/>
                  <wp:effectExtent l="0" t="0" r="0" b="2540"/>
                  <wp:docPr id="75" name="Graphique 7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7">
                            <a:extLs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047" w:type="dxa"/>
            <w:shd w:val="clear" w:color="auto" w:fill="FFFF00"/>
            <w:vAlign w:val="center"/>
          </w:tcPr>
          <w:p w14:paraId="56F1514C" w14:textId="77777777" w:rsidR="001F7D9C" w:rsidRPr="004F210E" w:rsidRDefault="001F7D9C" w:rsidP="00AA05D9">
            <w:pPr>
              <w:jc w:val="center"/>
              <w:rPr>
                <w:bCs/>
              </w:rPr>
            </w:pPr>
            <w:r w:rsidRPr="004F210E">
              <w:rPr>
                <w:bCs/>
              </w:rPr>
              <w:t>Source</w:t>
            </w:r>
          </w:p>
        </w:tc>
      </w:tr>
    </w:tbl>
    <w:p w14:paraId="66935735" w14:textId="77777777" w:rsidR="001F7D9C" w:rsidRPr="00AC05C0" w:rsidRDefault="001F7D9C" w:rsidP="001F7D9C">
      <w:pPr>
        <w:rPr>
          <w:rFonts w:cs="Arial"/>
        </w:rPr>
      </w:pPr>
    </w:p>
    <w:p w14:paraId="3D8576BB" w14:textId="77777777" w:rsidR="001F7D9C" w:rsidRPr="006D32BF" w:rsidRDefault="001F7D9C" w:rsidP="001F7D9C">
      <w:pPr>
        <w:rPr>
          <w:b/>
          <w:sz w:val="24"/>
          <w:szCs w:val="28"/>
        </w:rPr>
      </w:pPr>
      <w:r w:rsidRPr="006D32BF">
        <w:rPr>
          <w:b/>
          <w:sz w:val="24"/>
          <w:szCs w:val="28"/>
        </w:rPr>
        <w:t xml:space="preserve">Travail à faire : </w:t>
      </w:r>
    </w:p>
    <w:p w14:paraId="4428B2AF" w14:textId="77777777" w:rsidR="001F7D9C" w:rsidRPr="001F7D9C" w:rsidRDefault="001F7D9C" w:rsidP="001F7D9C">
      <w:pPr>
        <w:spacing w:before="120" w:after="120"/>
        <w:rPr>
          <w:sz w:val="20"/>
          <w:szCs w:val="20"/>
        </w:rPr>
      </w:pPr>
      <w:r w:rsidRPr="001F7D9C">
        <w:rPr>
          <w:sz w:val="20"/>
          <w:szCs w:val="20"/>
        </w:rPr>
        <w:t>Après avoir lu les documents 1, 2 et 3 répondez aux questions suivantes :</w:t>
      </w:r>
    </w:p>
    <w:p w14:paraId="685BB9BD" w14:textId="77777777" w:rsidR="001F7D9C" w:rsidRPr="001F7D9C" w:rsidRDefault="001F7D9C" w:rsidP="001F7D9C">
      <w:pPr>
        <w:pStyle w:val="Paragraphedeliste"/>
        <w:numPr>
          <w:ilvl w:val="0"/>
          <w:numId w:val="1"/>
        </w:numPr>
        <w:ind w:left="360"/>
        <w:rPr>
          <w:bCs/>
          <w:sz w:val="20"/>
          <w:szCs w:val="20"/>
        </w:rPr>
      </w:pPr>
      <w:r w:rsidRPr="001F7D9C">
        <w:rPr>
          <w:bCs/>
          <w:sz w:val="20"/>
          <w:szCs w:val="20"/>
        </w:rPr>
        <w:t>Quels sont les principaux risques à l'international ?</w:t>
      </w:r>
    </w:p>
    <w:p w14:paraId="21F18385" w14:textId="77777777" w:rsidR="001F7D9C" w:rsidRPr="001F7D9C" w:rsidRDefault="001F7D9C" w:rsidP="001F7D9C">
      <w:pPr>
        <w:pStyle w:val="Paragraphedeliste"/>
        <w:numPr>
          <w:ilvl w:val="0"/>
          <w:numId w:val="1"/>
        </w:numPr>
        <w:ind w:left="360"/>
        <w:rPr>
          <w:bCs/>
          <w:sz w:val="20"/>
          <w:szCs w:val="20"/>
        </w:rPr>
      </w:pPr>
      <w:r w:rsidRPr="001F7D9C">
        <w:rPr>
          <w:bCs/>
          <w:sz w:val="20"/>
          <w:szCs w:val="20"/>
        </w:rPr>
        <w:t>Quels éléments économiques et politiques influencent le risque pays ?</w:t>
      </w:r>
    </w:p>
    <w:p w14:paraId="494F4275" w14:textId="77777777" w:rsidR="001F7D9C" w:rsidRPr="001F7D9C" w:rsidRDefault="001F7D9C" w:rsidP="001F7D9C">
      <w:pPr>
        <w:pStyle w:val="Paragraphedeliste"/>
        <w:numPr>
          <w:ilvl w:val="0"/>
          <w:numId w:val="1"/>
        </w:numPr>
        <w:ind w:left="360"/>
        <w:rPr>
          <w:bCs/>
          <w:sz w:val="20"/>
          <w:szCs w:val="20"/>
        </w:rPr>
      </w:pPr>
      <w:r w:rsidRPr="001F7D9C">
        <w:rPr>
          <w:bCs/>
          <w:sz w:val="20"/>
          <w:szCs w:val="20"/>
        </w:rPr>
        <w:t>Décrivez les liens entre tensions politiques et tensions économiques en Russie et en Égypte.</w:t>
      </w:r>
    </w:p>
    <w:p w14:paraId="00B564BD" w14:textId="77777777" w:rsidR="001F7D9C" w:rsidRPr="001F7D9C" w:rsidRDefault="001F7D9C" w:rsidP="001F7D9C">
      <w:pPr>
        <w:pStyle w:val="Paragraphedeliste"/>
        <w:numPr>
          <w:ilvl w:val="0"/>
          <w:numId w:val="1"/>
        </w:numPr>
        <w:ind w:left="360"/>
        <w:rPr>
          <w:bCs/>
          <w:sz w:val="20"/>
          <w:szCs w:val="20"/>
        </w:rPr>
      </w:pPr>
      <w:r w:rsidRPr="001F7D9C">
        <w:rPr>
          <w:bCs/>
          <w:sz w:val="20"/>
          <w:szCs w:val="20"/>
        </w:rPr>
        <w:t>Quels outils permettent de classer les risques ? Quelles notes obtient l'Égypte avec ces outils de mesure ?</w:t>
      </w:r>
    </w:p>
    <w:p w14:paraId="49E65F28" w14:textId="77777777" w:rsidR="001F7D9C" w:rsidRPr="006D32BF" w:rsidRDefault="001F7D9C" w:rsidP="001F7D9C">
      <w:pPr>
        <w:rPr>
          <w:bCs/>
        </w:rPr>
      </w:pPr>
    </w:p>
    <w:p w14:paraId="25DD59BA" w14:textId="77777777" w:rsidR="001F7D9C" w:rsidRDefault="001F7D9C" w:rsidP="001F7D9C"/>
    <w:p w14:paraId="37C7EB7E" w14:textId="77777777" w:rsidR="001F7D9C" w:rsidRPr="003E2237" w:rsidRDefault="001F7D9C" w:rsidP="001F7D9C">
      <w:pPr>
        <w:pBdr>
          <w:top w:val="single" w:sz="4" w:space="1" w:color="auto"/>
          <w:left w:val="single" w:sz="4" w:space="1" w:color="auto"/>
          <w:bottom w:val="single" w:sz="4" w:space="1" w:color="auto"/>
          <w:right w:val="single" w:sz="4" w:space="1" w:color="auto"/>
        </w:pBdr>
        <w:rPr>
          <w:b/>
          <w:sz w:val="24"/>
        </w:rPr>
      </w:pPr>
      <w:r w:rsidRPr="006D32BF">
        <w:rPr>
          <w:b/>
          <w:color w:val="FFFFFF" w:themeColor="background1"/>
          <w:sz w:val="24"/>
          <w:highlight w:val="red"/>
        </w:rPr>
        <w:t xml:space="preserve">Doc </w:t>
      </w:r>
      <w:r>
        <w:rPr>
          <w:b/>
          <w:color w:val="FFFFFF" w:themeColor="background1"/>
          <w:sz w:val="24"/>
          <w:highlight w:val="red"/>
        </w:rPr>
        <w:t xml:space="preserve">1 </w:t>
      </w:r>
      <w:r w:rsidRPr="006D32BF">
        <w:rPr>
          <w:b/>
          <w:color w:val="FFFFFF" w:themeColor="background1"/>
          <w:sz w:val="24"/>
        </w:rPr>
        <w:t xml:space="preserve"> </w:t>
      </w:r>
      <w:r w:rsidRPr="003E2237">
        <w:rPr>
          <w:rFonts w:cs="Arial"/>
          <w:b/>
          <w:sz w:val="24"/>
        </w:rPr>
        <w:t>La gestion du ri</w:t>
      </w:r>
      <w:r>
        <w:rPr>
          <w:rFonts w:cs="Arial"/>
          <w:b/>
          <w:sz w:val="24"/>
        </w:rPr>
        <w:t>sque client à l’international</w:t>
      </w:r>
    </w:p>
    <w:p w14:paraId="0BA22016" w14:textId="77777777" w:rsidR="001F7D9C" w:rsidRPr="001F7D9C" w:rsidRDefault="001F7D9C" w:rsidP="001F7D9C">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rPr>
          <w:rFonts w:cs="Arial"/>
          <w:sz w:val="20"/>
          <w:szCs w:val="20"/>
        </w:rPr>
      </w:pPr>
      <w:r w:rsidRPr="001F7D9C">
        <w:rPr>
          <w:rFonts w:cs="Arial"/>
          <w:sz w:val="20"/>
          <w:szCs w:val="20"/>
        </w:rPr>
        <w:t>Pour</w:t>
      </w:r>
      <w:r w:rsidRPr="001F7D9C">
        <w:rPr>
          <w:rFonts w:cs="Arial"/>
          <w:bCs/>
          <w:sz w:val="20"/>
          <w:szCs w:val="20"/>
        </w:rPr>
        <w:t xml:space="preserve"> les exportateurs, l’un des plus importants est le risque client</w:t>
      </w:r>
      <w:r w:rsidRPr="001F7D9C">
        <w:rPr>
          <w:rFonts w:cs="Arial"/>
          <w:sz w:val="20"/>
          <w:szCs w:val="20"/>
        </w:rPr>
        <w:t xml:space="preserve"> : qu’un client fasse défaut sur le paiement d’une livraison et l’équilibre financier de l’entreprise peut être atteint. À l’international, ce risque revêt deux composantes essentielles : d’abord le </w:t>
      </w:r>
      <w:r w:rsidRPr="001F7D9C">
        <w:rPr>
          <w:rFonts w:cs="Arial"/>
          <w:bCs/>
          <w:sz w:val="20"/>
          <w:szCs w:val="20"/>
        </w:rPr>
        <w:t>risque pays</w:t>
      </w:r>
      <w:r w:rsidRPr="001F7D9C">
        <w:rPr>
          <w:rFonts w:cs="Arial"/>
          <w:sz w:val="20"/>
          <w:szCs w:val="20"/>
        </w:rPr>
        <w:t xml:space="preserve">, et ensuite le </w:t>
      </w:r>
      <w:r w:rsidRPr="001F7D9C">
        <w:rPr>
          <w:rFonts w:cs="Arial"/>
          <w:bCs/>
          <w:sz w:val="20"/>
          <w:szCs w:val="20"/>
        </w:rPr>
        <w:t>risque commercial</w:t>
      </w:r>
      <w:r w:rsidRPr="001F7D9C">
        <w:rPr>
          <w:rFonts w:cs="Arial"/>
          <w:sz w:val="20"/>
          <w:szCs w:val="20"/>
        </w:rPr>
        <w:t>.</w:t>
      </w:r>
    </w:p>
    <w:p w14:paraId="65B5A144" w14:textId="77777777" w:rsidR="001F7D9C" w:rsidRPr="001F7D9C" w:rsidRDefault="001F7D9C" w:rsidP="001F7D9C">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rPr>
          <w:rFonts w:cs="Arial"/>
          <w:sz w:val="20"/>
          <w:szCs w:val="20"/>
        </w:rPr>
      </w:pPr>
      <w:r w:rsidRPr="001F7D9C">
        <w:rPr>
          <w:rFonts w:cs="Arial"/>
          <w:sz w:val="20"/>
          <w:szCs w:val="20"/>
        </w:rPr>
        <w:t xml:space="preserve">La </w:t>
      </w:r>
      <w:r w:rsidRPr="001F7D9C">
        <w:rPr>
          <w:rFonts w:cs="Arial"/>
          <w:bCs/>
          <w:sz w:val="20"/>
          <w:szCs w:val="20"/>
        </w:rPr>
        <w:t>tendance à l’amélioration est nette pour le risque commercial</w:t>
      </w:r>
      <w:r w:rsidRPr="001F7D9C">
        <w:rPr>
          <w:rFonts w:cs="Arial"/>
          <w:sz w:val="20"/>
          <w:szCs w:val="20"/>
        </w:rPr>
        <w:t xml:space="preserve"> : les défaillances d’entreprises dans le monde ont reculé de 12 % l’an dernier (dont - 4 % en Europe), selon l’assureur-crédit Euler </w:t>
      </w:r>
      <w:proofErr w:type="spellStart"/>
      <w:r w:rsidRPr="001F7D9C">
        <w:rPr>
          <w:rFonts w:cs="Arial"/>
          <w:sz w:val="20"/>
          <w:szCs w:val="20"/>
        </w:rPr>
        <w:t>Hermes</w:t>
      </w:r>
      <w:proofErr w:type="spellEnd"/>
      <w:r w:rsidRPr="001F7D9C">
        <w:rPr>
          <w:rFonts w:cs="Arial"/>
          <w:sz w:val="20"/>
          <w:szCs w:val="20"/>
        </w:rPr>
        <w:t xml:space="preserve">, et ce reflux devrait se poursuivre cette année avec un nouveau recul de 3 % anticipé. </w:t>
      </w:r>
      <w:r w:rsidRPr="001F7D9C">
        <w:rPr>
          <w:rFonts w:cs="Arial"/>
          <w:bCs/>
          <w:sz w:val="20"/>
          <w:szCs w:val="20"/>
        </w:rPr>
        <w:t>Mais il y a un bémol</w:t>
      </w:r>
      <w:r w:rsidRPr="001F7D9C">
        <w:rPr>
          <w:rFonts w:cs="Arial"/>
          <w:sz w:val="20"/>
          <w:szCs w:val="20"/>
        </w:rPr>
        <w:t> : dans de nombreux pays, la situation financière des entreprises, en particulier des PME, reste fragile. Un signe : les retards de paiement interentreprises n’ont cessé de s’allonger ces dernières années, passant d’une moyenne de 13,3 jours à fin juin 2013 à 14,7 jours à fin juin 2014, selon Altares.</w:t>
      </w:r>
    </w:p>
    <w:p w14:paraId="03F88D2A" w14:textId="77777777" w:rsidR="001F7D9C" w:rsidRPr="001F7D9C" w:rsidRDefault="001F7D9C" w:rsidP="001F7D9C">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rPr>
          <w:rFonts w:cs="Arial"/>
          <w:sz w:val="20"/>
          <w:szCs w:val="20"/>
        </w:rPr>
      </w:pPr>
      <w:r w:rsidRPr="001F7D9C">
        <w:rPr>
          <w:rFonts w:cs="Arial"/>
          <w:sz w:val="20"/>
          <w:szCs w:val="20"/>
        </w:rPr>
        <w:t xml:space="preserve">Quant à </w:t>
      </w:r>
      <w:r w:rsidRPr="001F7D9C">
        <w:rPr>
          <w:rFonts w:cs="Arial"/>
          <w:bCs/>
          <w:sz w:val="20"/>
          <w:szCs w:val="20"/>
        </w:rPr>
        <w:t>l’évolution des risques pays, elle reste extrêmement contrastée</w:t>
      </w:r>
      <w:r w:rsidRPr="001F7D9C">
        <w:rPr>
          <w:rFonts w:cs="Arial"/>
          <w:sz w:val="20"/>
          <w:szCs w:val="20"/>
        </w:rPr>
        <w:t xml:space="preserve">. </w:t>
      </w:r>
      <w:proofErr w:type="gramStart"/>
      <w:r w:rsidRPr="001F7D9C">
        <w:rPr>
          <w:rFonts w:cs="Arial"/>
          <w:sz w:val="20"/>
          <w:szCs w:val="20"/>
        </w:rPr>
        <w:t>Au</w:t>
      </w:r>
      <w:proofErr w:type="gramEnd"/>
      <w:r w:rsidRPr="001F7D9C">
        <w:rPr>
          <w:rFonts w:cs="Arial"/>
          <w:sz w:val="20"/>
          <w:szCs w:val="20"/>
        </w:rPr>
        <w:t xml:space="preserve"> plan mondial, les impayés ont bondi de 23 % en 2014, pointait encore Euler </w:t>
      </w:r>
      <w:proofErr w:type="spellStart"/>
      <w:r w:rsidRPr="001F7D9C">
        <w:rPr>
          <w:rFonts w:cs="Arial"/>
          <w:sz w:val="20"/>
          <w:szCs w:val="20"/>
        </w:rPr>
        <w:t>Hermes</w:t>
      </w:r>
      <w:proofErr w:type="spellEnd"/>
      <w:r w:rsidRPr="001F7D9C">
        <w:rPr>
          <w:rFonts w:cs="Arial"/>
          <w:sz w:val="20"/>
          <w:szCs w:val="20"/>
        </w:rPr>
        <w:t xml:space="preserve">, dopés par des incidents de paiement en hausse enregistrés en </w:t>
      </w:r>
      <w:r w:rsidRPr="001F7D9C">
        <w:rPr>
          <w:rFonts w:cs="Arial"/>
          <w:bCs/>
          <w:sz w:val="20"/>
          <w:szCs w:val="20"/>
        </w:rPr>
        <w:t>Russie</w:t>
      </w:r>
      <w:r w:rsidRPr="001F7D9C">
        <w:rPr>
          <w:rFonts w:cs="Arial"/>
          <w:sz w:val="20"/>
          <w:szCs w:val="20"/>
        </w:rPr>
        <w:t xml:space="preserve"> (+ 161 %) et en </w:t>
      </w:r>
      <w:r w:rsidRPr="001F7D9C">
        <w:rPr>
          <w:rFonts w:cs="Arial"/>
          <w:bCs/>
          <w:sz w:val="20"/>
          <w:szCs w:val="20"/>
        </w:rPr>
        <w:t>Chine</w:t>
      </w:r>
      <w:r w:rsidRPr="001F7D9C">
        <w:rPr>
          <w:rFonts w:cs="Arial"/>
          <w:sz w:val="20"/>
          <w:szCs w:val="20"/>
        </w:rPr>
        <w:t xml:space="preserve"> (+ 103 %). En Russie, la chute des cours du pétrole et les sanctions américaines et européennes à propos de l’Ukraine ont aggravé une situation économique qui n’était pas brillante. En Chine, l’accès au crédit des entreprises s’est restreint.</w:t>
      </w:r>
    </w:p>
    <w:p w14:paraId="714C4777" w14:textId="77777777" w:rsidR="001F7D9C" w:rsidRPr="003E2237" w:rsidRDefault="001F7D9C" w:rsidP="001F7D9C">
      <w:pPr>
        <w:pBdr>
          <w:top w:val="single" w:sz="4" w:space="1" w:color="auto"/>
          <w:left w:val="single" w:sz="4" w:space="1" w:color="auto"/>
          <w:bottom w:val="single" w:sz="4" w:space="1" w:color="auto"/>
          <w:right w:val="single" w:sz="4" w:space="1" w:color="auto"/>
        </w:pBdr>
        <w:jc w:val="right"/>
        <w:rPr>
          <w:i/>
        </w:rPr>
      </w:pPr>
      <w:r w:rsidRPr="001F7D9C">
        <w:rPr>
          <w:i/>
          <w:sz w:val="20"/>
          <w:szCs w:val="20"/>
        </w:rPr>
        <w:t xml:space="preserve">Source </w:t>
      </w:r>
      <w:hyperlink r:id="rId9" w:history="1">
        <w:r w:rsidRPr="001F7D9C">
          <w:rPr>
            <w:rStyle w:val="Lienhypertexte"/>
            <w:i/>
            <w:sz w:val="20"/>
            <w:szCs w:val="20"/>
          </w:rPr>
          <w:t>http://www.lemoci.com/la-gestion-du-risque-client-a-linternational-un-nouveau-guide-moci-pour-les-entrepreneurs-audacieux/</w:t>
        </w:r>
      </w:hyperlink>
    </w:p>
    <w:p w14:paraId="165E9DD0" w14:textId="77777777" w:rsidR="001F7D9C" w:rsidRDefault="001F7D9C" w:rsidP="001F7D9C"/>
    <w:p w14:paraId="46D8F886" w14:textId="77777777" w:rsidR="001F7D9C" w:rsidRPr="003E2237"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jc w:val="left"/>
        <w:rPr>
          <w:rFonts w:cs="Arial"/>
          <w:b/>
          <w:sz w:val="24"/>
          <w:lang w:eastAsia="fr-FR"/>
        </w:rPr>
      </w:pPr>
      <w:r w:rsidRPr="006D32BF">
        <w:rPr>
          <w:rFonts w:cs="Arial"/>
          <w:b/>
          <w:color w:val="FFFFFF" w:themeColor="background1"/>
          <w:sz w:val="24"/>
          <w:highlight w:val="red"/>
          <w:lang w:val="en-US"/>
        </w:rPr>
        <w:t xml:space="preserve">Doc </w:t>
      </w:r>
      <w:r w:rsidRPr="006D32BF">
        <w:rPr>
          <w:rFonts w:cs="Arial"/>
          <w:b/>
          <w:color w:val="FFFFFF" w:themeColor="background1"/>
          <w:sz w:val="24"/>
          <w:highlight w:val="red"/>
        </w:rPr>
        <w:t>2 </w:t>
      </w:r>
      <w:r w:rsidRPr="006D32BF">
        <w:rPr>
          <w:rFonts w:cs="Arial"/>
          <w:b/>
          <w:color w:val="FFFFFF" w:themeColor="background1"/>
          <w:sz w:val="24"/>
        </w:rPr>
        <w:t xml:space="preserve"> </w:t>
      </w:r>
      <w:r>
        <w:rPr>
          <w:rFonts w:cs="Arial"/>
          <w:b/>
          <w:color w:val="FFFFFF" w:themeColor="background1"/>
          <w:sz w:val="24"/>
        </w:rPr>
        <w:t xml:space="preserve"> </w:t>
      </w:r>
      <w:proofErr w:type="gramStart"/>
      <w:r>
        <w:rPr>
          <w:rFonts w:cs="Arial"/>
          <w:b/>
          <w:sz w:val="24"/>
          <w:lang w:eastAsia="fr-FR"/>
        </w:rPr>
        <w:t>É</w:t>
      </w:r>
      <w:r w:rsidRPr="003E2237">
        <w:rPr>
          <w:rFonts w:cs="Arial"/>
          <w:b/>
          <w:sz w:val="24"/>
          <w:lang w:eastAsia="fr-FR"/>
        </w:rPr>
        <w:t>gypte</w:t>
      </w:r>
      <w:r>
        <w:rPr>
          <w:rFonts w:cs="Arial"/>
          <w:b/>
          <w:sz w:val="24"/>
          <w:lang w:eastAsia="fr-FR"/>
        </w:rPr>
        <w:t xml:space="preserve"> </w:t>
      </w:r>
      <w:r w:rsidRPr="003E2237">
        <w:rPr>
          <w:rFonts w:cs="Arial"/>
          <w:b/>
          <w:sz w:val="24"/>
          <w:lang w:eastAsia="fr-FR"/>
        </w:rPr>
        <w:t>:</w:t>
      </w:r>
      <w:proofErr w:type="gramEnd"/>
      <w:r w:rsidRPr="003E2237">
        <w:rPr>
          <w:rFonts w:cs="Arial"/>
          <w:b/>
          <w:sz w:val="24"/>
          <w:lang w:eastAsia="fr-FR"/>
        </w:rPr>
        <w:t xml:space="preserve"> Le risque pays est très élevé </w:t>
      </w:r>
    </w:p>
    <w:p w14:paraId="0CC2FCDB" w14:textId="77777777" w:rsidR="001F7D9C" w:rsidRPr="001F7D9C"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sz w:val="20"/>
          <w:szCs w:val="20"/>
          <w:lang w:eastAsia="fr-FR"/>
        </w:rPr>
      </w:pPr>
      <w:r w:rsidRPr="001F7D9C">
        <w:rPr>
          <w:rFonts w:cs="Arial"/>
          <w:sz w:val="20"/>
          <w:szCs w:val="20"/>
          <w:lang w:eastAsia="fr-FR"/>
        </w:rPr>
        <w:t xml:space="preserve">Le classement de l’Egypte en matière de risque pays par l’Office national de ducroire (ONDD) se passerait presque de commentaires : en plaçant ce pays charnière entre l’Afrique et l’Orient en bas de l’échelle pour les risques commerciaux (catégorie C) et en catégorie 5 sur une échelle qui en compte 7 pour le risque politique, tant à court terme qu’à moyen et long terme, l’assureur crédit public belge, dans son classement en date du 2 juillet, constate des « tensions croissantes », un an après l’élection au suffrage universel du président islamiste Mohamed </w:t>
      </w:r>
      <w:proofErr w:type="spellStart"/>
      <w:r w:rsidRPr="001F7D9C">
        <w:rPr>
          <w:rFonts w:cs="Arial"/>
          <w:sz w:val="20"/>
          <w:szCs w:val="20"/>
          <w:lang w:eastAsia="fr-FR"/>
        </w:rPr>
        <w:t>Morsi</w:t>
      </w:r>
      <w:proofErr w:type="spellEnd"/>
      <w:r w:rsidRPr="001F7D9C">
        <w:rPr>
          <w:rFonts w:cs="Arial"/>
          <w:sz w:val="20"/>
          <w:szCs w:val="20"/>
          <w:lang w:eastAsia="fr-FR"/>
        </w:rPr>
        <w:t xml:space="preserve"> […].</w:t>
      </w:r>
    </w:p>
    <w:p w14:paraId="2F6B1EAC" w14:textId="77777777" w:rsidR="001F7D9C" w:rsidRPr="001F7D9C"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sz w:val="20"/>
          <w:szCs w:val="20"/>
          <w:lang w:eastAsia="fr-FR"/>
        </w:rPr>
      </w:pPr>
      <w:r w:rsidRPr="001F7D9C">
        <w:rPr>
          <w:rFonts w:cs="Arial"/>
          <w:sz w:val="20"/>
          <w:szCs w:val="20"/>
          <w:lang w:eastAsia="fr-FR"/>
        </w:rPr>
        <w:t>Très investis dans l’économie, les militaires pourraient être tentés de rétablir un certain ordre, alors que les investissements étrangers reculent et le tourisme diminue. Sans compter que les coupures d’électricité handicapent les usagers, ménages et entreprises […].</w:t>
      </w:r>
    </w:p>
    <w:p w14:paraId="3B848068" w14:textId="77777777" w:rsidR="001F7D9C" w:rsidRPr="001F7D9C"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cs="Arial"/>
          <w:b/>
          <w:i/>
          <w:sz w:val="20"/>
          <w:szCs w:val="20"/>
        </w:rPr>
      </w:pPr>
      <w:r w:rsidRPr="001F7D9C">
        <w:rPr>
          <w:rFonts w:cs="Arial"/>
          <w:i/>
          <w:sz w:val="20"/>
          <w:szCs w:val="20"/>
          <w:lang w:eastAsia="fr-FR"/>
        </w:rPr>
        <w:t xml:space="preserve">Source :  </w:t>
      </w:r>
      <w:r w:rsidRPr="001F7D9C">
        <w:rPr>
          <w:rFonts w:cs="Arial"/>
          <w:sz w:val="20"/>
          <w:szCs w:val="20"/>
          <w:lang w:eastAsia="fr-FR"/>
        </w:rPr>
        <w:t xml:space="preserve">François Pargny, </w:t>
      </w:r>
      <w:hyperlink r:id="rId10" w:history="1">
        <w:r w:rsidRPr="001F7D9C">
          <w:rPr>
            <w:rStyle w:val="Lienhypertexte"/>
            <w:rFonts w:cs="Arial"/>
            <w:i/>
            <w:sz w:val="20"/>
            <w:szCs w:val="20"/>
            <w:lang w:eastAsia="fr-FR"/>
          </w:rPr>
          <w:t>http://www.lemoci.com/</w:t>
        </w:r>
      </w:hyperlink>
      <w:r w:rsidRPr="001F7D9C">
        <w:rPr>
          <w:rFonts w:cs="Arial"/>
          <w:b/>
          <w:i/>
          <w:sz w:val="20"/>
          <w:szCs w:val="20"/>
        </w:rPr>
        <w:t xml:space="preserve"> </w:t>
      </w:r>
    </w:p>
    <w:p w14:paraId="653EDA0A" w14:textId="77777777" w:rsidR="001F7D9C" w:rsidRPr="001F7D9C" w:rsidRDefault="001F7D9C" w:rsidP="001F7D9C">
      <w:pPr>
        <w:widowControl w:val="0"/>
        <w:autoSpaceDE w:val="0"/>
        <w:autoSpaceDN w:val="0"/>
        <w:adjustRightInd w:val="0"/>
        <w:jc w:val="left"/>
        <w:rPr>
          <w:rFonts w:cs="Arial"/>
          <w:b/>
        </w:rPr>
      </w:pPr>
    </w:p>
    <w:p w14:paraId="373F9DAE" w14:textId="77777777" w:rsidR="001F7D9C" w:rsidRPr="003E2237"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jc w:val="left"/>
        <w:rPr>
          <w:rFonts w:cs="Arial"/>
          <w:b/>
          <w:sz w:val="24"/>
          <w:szCs w:val="24"/>
        </w:rPr>
      </w:pPr>
      <w:r w:rsidRPr="006D32BF">
        <w:rPr>
          <w:rFonts w:cs="Arial"/>
          <w:b/>
          <w:color w:val="FFFFFF" w:themeColor="background1"/>
          <w:sz w:val="24"/>
          <w:szCs w:val="24"/>
          <w:highlight w:val="red"/>
        </w:rPr>
        <w:t xml:space="preserve">Doc </w:t>
      </w:r>
      <w:r>
        <w:rPr>
          <w:rFonts w:cs="Arial"/>
          <w:b/>
          <w:color w:val="FFFFFF" w:themeColor="background1"/>
          <w:sz w:val="24"/>
          <w:szCs w:val="24"/>
          <w:highlight w:val="red"/>
        </w:rPr>
        <w:t xml:space="preserve">3 </w:t>
      </w:r>
      <w:r w:rsidRPr="006D32BF">
        <w:rPr>
          <w:rFonts w:cs="Arial"/>
          <w:b/>
          <w:color w:val="FFFFFF" w:themeColor="background1"/>
          <w:sz w:val="24"/>
          <w:szCs w:val="24"/>
        </w:rPr>
        <w:t xml:space="preserve"> </w:t>
      </w:r>
      <w:r w:rsidRPr="003E2237">
        <w:rPr>
          <w:rFonts w:cs="Arial"/>
          <w:b/>
          <w:sz w:val="24"/>
          <w:szCs w:val="24"/>
        </w:rPr>
        <w:t>Égypte : Ducroire ne veut plus couvrir les risques</w:t>
      </w:r>
    </w:p>
    <w:p w14:paraId="1E90F334" w14:textId="77777777" w:rsidR="001F7D9C" w:rsidRPr="001F7D9C"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sz w:val="20"/>
          <w:szCs w:val="20"/>
        </w:rPr>
      </w:pPr>
      <w:r w:rsidRPr="001F7D9C">
        <w:rPr>
          <w:rFonts w:cs="Arial"/>
          <w:sz w:val="20"/>
          <w:szCs w:val="20"/>
        </w:rPr>
        <w:t xml:space="preserve">[…] L'assureur export public belge ONDD (Office national de Ducroire) vient de décider d’arrêter de couvrir le risque de non-paiement et de non-transfert au pays des pharaons. « Ce qui justifie notre décision est principalement l’évolution négative de la balance des comptes courants », explique au </w:t>
      </w:r>
      <w:proofErr w:type="spellStart"/>
      <w:r w:rsidRPr="001F7D9C">
        <w:rPr>
          <w:rFonts w:cs="Arial"/>
          <w:i/>
          <w:iCs/>
          <w:sz w:val="20"/>
          <w:szCs w:val="20"/>
        </w:rPr>
        <w:t>Moci</w:t>
      </w:r>
      <w:proofErr w:type="spellEnd"/>
      <w:r w:rsidRPr="001F7D9C">
        <w:rPr>
          <w:rFonts w:cs="Arial"/>
          <w:sz w:val="20"/>
          <w:szCs w:val="20"/>
        </w:rPr>
        <w:t xml:space="preserve"> </w:t>
      </w:r>
      <w:proofErr w:type="spellStart"/>
      <w:r w:rsidRPr="001F7D9C">
        <w:rPr>
          <w:rFonts w:cs="Arial"/>
          <w:sz w:val="20"/>
          <w:szCs w:val="20"/>
        </w:rPr>
        <w:t>Daan</w:t>
      </w:r>
      <w:proofErr w:type="spellEnd"/>
      <w:r w:rsidRPr="001F7D9C">
        <w:rPr>
          <w:rFonts w:cs="Arial"/>
          <w:sz w:val="20"/>
          <w:szCs w:val="20"/>
        </w:rPr>
        <w:t xml:space="preserve"> </w:t>
      </w:r>
      <w:proofErr w:type="spellStart"/>
      <w:r w:rsidRPr="001F7D9C">
        <w:rPr>
          <w:rFonts w:cs="Arial"/>
          <w:sz w:val="20"/>
          <w:szCs w:val="20"/>
        </w:rPr>
        <w:t>Rowies</w:t>
      </w:r>
      <w:proofErr w:type="spellEnd"/>
      <w:r w:rsidRPr="001F7D9C">
        <w:rPr>
          <w:rFonts w:cs="Arial"/>
          <w:sz w:val="20"/>
          <w:szCs w:val="20"/>
        </w:rPr>
        <w:t>, analyste à l’Office national de Ducroire […].</w:t>
      </w:r>
    </w:p>
    <w:p w14:paraId="39CEE74F" w14:textId="77777777" w:rsidR="001F7D9C" w:rsidRPr="001F7D9C" w:rsidRDefault="001F7D9C" w:rsidP="001F7D9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sz w:val="20"/>
          <w:szCs w:val="20"/>
        </w:rPr>
      </w:pPr>
      <w:r w:rsidRPr="001F7D9C">
        <w:rPr>
          <w:rFonts w:cs="Arial"/>
          <w:sz w:val="20"/>
          <w:szCs w:val="20"/>
        </w:rPr>
        <w:t xml:space="preserve">« Certes, l'Arabie saoudite, les Émirats Arabes Unis et le Koweït sont venus en aide, poussant le niveau des réserves de change à un pic jamais atteint depuis fin juillet 2011, et l'Arabie saoudite a promis de couvrir les besoins de financement, mais jusqu’à quand », s’interroge </w:t>
      </w:r>
      <w:proofErr w:type="spellStart"/>
      <w:r w:rsidRPr="001F7D9C">
        <w:rPr>
          <w:rFonts w:cs="Arial"/>
          <w:sz w:val="20"/>
          <w:szCs w:val="20"/>
        </w:rPr>
        <w:t>Daan</w:t>
      </w:r>
      <w:proofErr w:type="spellEnd"/>
      <w:r w:rsidRPr="001F7D9C">
        <w:rPr>
          <w:rFonts w:cs="Arial"/>
          <w:sz w:val="20"/>
          <w:szCs w:val="20"/>
        </w:rPr>
        <w:t xml:space="preserve"> </w:t>
      </w:r>
      <w:proofErr w:type="spellStart"/>
      <w:r w:rsidRPr="001F7D9C">
        <w:rPr>
          <w:rFonts w:cs="Arial"/>
          <w:sz w:val="20"/>
          <w:szCs w:val="20"/>
        </w:rPr>
        <w:t>Rowies</w:t>
      </w:r>
      <w:proofErr w:type="spellEnd"/>
      <w:r w:rsidRPr="001F7D9C">
        <w:rPr>
          <w:rFonts w:cs="Arial"/>
          <w:sz w:val="20"/>
          <w:szCs w:val="20"/>
        </w:rPr>
        <w:t xml:space="preserve"> qui estime, en outre, que l’aide extérieure ne saurait exempter Le Caire de prendre les mesures économiques nécessaires pour redresser la compétitivité du pays, assainir les finances publiques et relancer l’investissement étranger.</w:t>
      </w:r>
    </w:p>
    <w:p w14:paraId="518C9E3C" w14:textId="77777777" w:rsidR="001F7D9C" w:rsidRPr="001F7D9C" w:rsidRDefault="001F7D9C" w:rsidP="001F7D9C">
      <w:pPr>
        <w:pBdr>
          <w:top w:val="single" w:sz="4" w:space="1" w:color="auto"/>
          <w:left w:val="single" w:sz="4" w:space="4" w:color="auto"/>
          <w:bottom w:val="single" w:sz="4" w:space="1" w:color="auto"/>
          <w:right w:val="single" w:sz="4" w:space="4" w:color="auto"/>
        </w:pBdr>
        <w:spacing w:before="120"/>
        <w:jc w:val="right"/>
        <w:rPr>
          <w:rFonts w:cs="Arial"/>
          <w:i/>
          <w:sz w:val="20"/>
          <w:szCs w:val="20"/>
        </w:rPr>
      </w:pPr>
      <w:r w:rsidRPr="001F7D9C">
        <w:rPr>
          <w:rFonts w:cs="Arial"/>
          <w:i/>
          <w:sz w:val="20"/>
          <w:szCs w:val="20"/>
        </w:rPr>
        <w:t xml:space="preserve">Source : </w:t>
      </w:r>
      <w:r w:rsidRPr="001F7D9C">
        <w:rPr>
          <w:rFonts w:cs="Arial"/>
          <w:sz w:val="20"/>
          <w:szCs w:val="20"/>
          <w:lang w:eastAsia="fr-FR"/>
        </w:rPr>
        <w:t xml:space="preserve">François </w:t>
      </w:r>
      <w:proofErr w:type="gramStart"/>
      <w:r w:rsidRPr="001F7D9C">
        <w:rPr>
          <w:rFonts w:cs="Arial"/>
          <w:sz w:val="20"/>
          <w:szCs w:val="20"/>
          <w:lang w:eastAsia="fr-FR"/>
        </w:rPr>
        <w:t>Pargny</w:t>
      </w:r>
      <w:r w:rsidRPr="001F7D9C">
        <w:rPr>
          <w:rFonts w:cs="Arial"/>
          <w:i/>
          <w:sz w:val="20"/>
          <w:szCs w:val="20"/>
        </w:rPr>
        <w:t>:</w:t>
      </w:r>
      <w:proofErr w:type="gramEnd"/>
      <w:r w:rsidRPr="001F7D9C">
        <w:rPr>
          <w:rFonts w:cs="Arial"/>
          <w:i/>
          <w:sz w:val="20"/>
          <w:szCs w:val="20"/>
        </w:rPr>
        <w:t xml:space="preserve"> </w:t>
      </w:r>
      <w:hyperlink r:id="rId11" w:history="1">
        <w:r w:rsidRPr="001F7D9C">
          <w:rPr>
            <w:rStyle w:val="Lienhypertexte"/>
            <w:rFonts w:cs="Arial"/>
            <w:i/>
            <w:sz w:val="20"/>
            <w:szCs w:val="20"/>
          </w:rPr>
          <w:t>http://www.lemoci.com/</w:t>
        </w:r>
      </w:hyperlink>
      <w:r w:rsidRPr="001F7D9C">
        <w:rPr>
          <w:rFonts w:cs="Arial"/>
          <w:i/>
          <w:sz w:val="20"/>
          <w:szCs w:val="20"/>
        </w:rPr>
        <w:t xml:space="preserve"> </w:t>
      </w:r>
    </w:p>
    <w:p w14:paraId="1A9F4A27" w14:textId="77777777" w:rsidR="001F7D9C" w:rsidRPr="003E2237" w:rsidRDefault="001F7D9C" w:rsidP="001F7D9C"/>
    <w:p w14:paraId="6BEC7249" w14:textId="77777777" w:rsidR="001F7D9C" w:rsidRDefault="001F7D9C" w:rsidP="001F7D9C"/>
    <w:p w14:paraId="68E95C98" w14:textId="77777777" w:rsidR="001F7D9C" w:rsidRDefault="001F7D9C" w:rsidP="001F7D9C"/>
    <w:bookmarkEnd w:id="0"/>
    <w:p w14:paraId="1855EDD7" w14:textId="53435DB4" w:rsidR="00A6691C" w:rsidRDefault="001F7D9C" w:rsidP="00A6691C">
      <w:pPr>
        <w:rPr>
          <w:b/>
          <w:sz w:val="24"/>
        </w:rPr>
      </w:pPr>
      <w:r>
        <w:rPr>
          <w:b/>
          <w:sz w:val="24"/>
        </w:rPr>
        <w:lastRenderedPageBreak/>
        <w:t>Réponses</w:t>
      </w:r>
    </w:p>
    <w:p w14:paraId="49D94D48" w14:textId="77777777" w:rsidR="00A6691C" w:rsidRPr="00A6691C" w:rsidRDefault="00A6691C" w:rsidP="001F7D9C">
      <w:pPr>
        <w:rPr>
          <w:b/>
          <w:sz w:val="24"/>
        </w:rPr>
      </w:pPr>
    </w:p>
    <w:p w14:paraId="30769AE7" w14:textId="77777777" w:rsidR="00A6691C" w:rsidRPr="001F7D9C" w:rsidRDefault="00A6691C" w:rsidP="001F7D9C">
      <w:pPr>
        <w:pStyle w:val="Paragraphedeliste"/>
        <w:numPr>
          <w:ilvl w:val="0"/>
          <w:numId w:val="3"/>
        </w:numPr>
        <w:rPr>
          <w:b/>
          <w:szCs w:val="20"/>
        </w:rPr>
      </w:pPr>
      <w:r w:rsidRPr="001F7D9C">
        <w:rPr>
          <w:b/>
          <w:szCs w:val="20"/>
        </w:rPr>
        <w:t>Quels sont les principaux risques à l'international ?</w:t>
      </w:r>
    </w:p>
    <w:p w14:paraId="51214EEF" w14:textId="205A6637" w:rsidR="00A6691C" w:rsidRPr="001F7D9C" w:rsidRDefault="00A6691C" w:rsidP="001F7D9C">
      <w:pPr>
        <w:rPr>
          <w:b/>
          <w:szCs w:val="20"/>
        </w:rPr>
      </w:pPr>
    </w:p>
    <w:p w14:paraId="4710224C" w14:textId="7088D130" w:rsidR="006A386F" w:rsidRPr="001F7D9C" w:rsidRDefault="006A386F" w:rsidP="001F7D9C">
      <w:pPr>
        <w:rPr>
          <w:b/>
          <w:szCs w:val="20"/>
        </w:rPr>
      </w:pPr>
    </w:p>
    <w:p w14:paraId="4BCE090F" w14:textId="77777777" w:rsidR="00EE69BB" w:rsidRPr="001F7D9C" w:rsidRDefault="00EE69BB" w:rsidP="001F7D9C">
      <w:pPr>
        <w:rPr>
          <w:b/>
          <w:szCs w:val="20"/>
        </w:rPr>
      </w:pPr>
    </w:p>
    <w:p w14:paraId="05DDF773" w14:textId="77777777" w:rsidR="00A6691C" w:rsidRPr="001F7D9C" w:rsidRDefault="00A6691C" w:rsidP="001F7D9C">
      <w:pPr>
        <w:pStyle w:val="Paragraphedeliste"/>
        <w:numPr>
          <w:ilvl w:val="0"/>
          <w:numId w:val="3"/>
        </w:numPr>
        <w:rPr>
          <w:b/>
          <w:szCs w:val="20"/>
        </w:rPr>
      </w:pPr>
      <w:r w:rsidRPr="001F7D9C">
        <w:rPr>
          <w:b/>
          <w:szCs w:val="20"/>
        </w:rPr>
        <w:t>Quels éléments économiques et politiques influencent le risque pays ?</w:t>
      </w:r>
    </w:p>
    <w:p w14:paraId="2F6ABB57" w14:textId="3A3E7092" w:rsidR="00A6691C" w:rsidRPr="001F7D9C" w:rsidRDefault="00A6691C" w:rsidP="001F7D9C">
      <w:pPr>
        <w:pStyle w:val="Paragraphedeliste"/>
        <w:rPr>
          <w:b/>
          <w:szCs w:val="20"/>
        </w:rPr>
      </w:pPr>
    </w:p>
    <w:p w14:paraId="08716F01" w14:textId="77777777" w:rsidR="00EE69BB" w:rsidRPr="001F7D9C" w:rsidRDefault="00EE69BB" w:rsidP="001F7D9C">
      <w:pPr>
        <w:pStyle w:val="Paragraphedeliste"/>
        <w:rPr>
          <w:b/>
          <w:szCs w:val="20"/>
        </w:rPr>
      </w:pPr>
    </w:p>
    <w:p w14:paraId="06C95486" w14:textId="77777777" w:rsidR="00EE69BB" w:rsidRPr="001F7D9C" w:rsidRDefault="00EE69BB" w:rsidP="001F7D9C">
      <w:pPr>
        <w:rPr>
          <w:b/>
          <w:szCs w:val="20"/>
        </w:rPr>
      </w:pPr>
    </w:p>
    <w:p w14:paraId="28C944E6" w14:textId="77777777" w:rsidR="00A6691C" w:rsidRPr="001F7D9C" w:rsidRDefault="00A6691C" w:rsidP="001F7D9C">
      <w:pPr>
        <w:pStyle w:val="Paragraphedeliste"/>
        <w:numPr>
          <w:ilvl w:val="0"/>
          <w:numId w:val="3"/>
        </w:numPr>
        <w:rPr>
          <w:b/>
          <w:szCs w:val="20"/>
        </w:rPr>
      </w:pPr>
      <w:r w:rsidRPr="001F7D9C">
        <w:rPr>
          <w:b/>
          <w:szCs w:val="20"/>
        </w:rPr>
        <w:t>Décrivez les liens entre tensions politiques et tensions économiques en Russie et en Égypte.</w:t>
      </w:r>
    </w:p>
    <w:p w14:paraId="4C64E5D9" w14:textId="77777777" w:rsidR="00A6691C" w:rsidRPr="001F7D9C" w:rsidRDefault="00A6691C" w:rsidP="001F7D9C">
      <w:pPr>
        <w:pStyle w:val="Paragraphedeliste"/>
        <w:rPr>
          <w:b/>
          <w:szCs w:val="20"/>
        </w:rPr>
      </w:pPr>
    </w:p>
    <w:p w14:paraId="55D29BCF" w14:textId="74BC5525" w:rsidR="00A6691C" w:rsidRPr="001F7D9C" w:rsidRDefault="00A6691C" w:rsidP="001F7D9C">
      <w:pPr>
        <w:rPr>
          <w:b/>
          <w:szCs w:val="20"/>
        </w:rPr>
      </w:pPr>
    </w:p>
    <w:p w14:paraId="781B73AD" w14:textId="77777777" w:rsidR="00EE69BB" w:rsidRPr="001F7D9C" w:rsidRDefault="00EE69BB" w:rsidP="001F7D9C">
      <w:pPr>
        <w:rPr>
          <w:b/>
          <w:szCs w:val="20"/>
        </w:rPr>
      </w:pPr>
    </w:p>
    <w:p w14:paraId="0BB03635" w14:textId="1EEA8EF9" w:rsidR="00A6691C" w:rsidRPr="001F7D9C" w:rsidRDefault="00A6691C" w:rsidP="001F7D9C">
      <w:pPr>
        <w:pStyle w:val="Paragraphedeliste"/>
        <w:numPr>
          <w:ilvl w:val="0"/>
          <w:numId w:val="3"/>
        </w:numPr>
        <w:rPr>
          <w:b/>
          <w:szCs w:val="20"/>
        </w:rPr>
      </w:pPr>
      <w:r w:rsidRPr="001F7D9C">
        <w:rPr>
          <w:b/>
          <w:szCs w:val="20"/>
        </w:rPr>
        <w:t>Quels outils permettent de classer les risques ? Quelles notes obtient l'Égypte</w:t>
      </w:r>
      <w:r w:rsidR="0099052A" w:rsidRPr="001F7D9C">
        <w:rPr>
          <w:b/>
          <w:szCs w:val="20"/>
        </w:rPr>
        <w:t xml:space="preserve"> </w:t>
      </w:r>
      <w:r w:rsidRPr="001F7D9C">
        <w:rPr>
          <w:b/>
          <w:szCs w:val="20"/>
        </w:rPr>
        <w:t>?</w:t>
      </w:r>
    </w:p>
    <w:p w14:paraId="021C5936" w14:textId="77777777" w:rsidR="00A6691C" w:rsidRPr="00A6691C" w:rsidRDefault="00A6691C" w:rsidP="00A6691C">
      <w:pPr>
        <w:rPr>
          <w:sz w:val="24"/>
        </w:rPr>
      </w:pPr>
    </w:p>
    <w:p w14:paraId="14972AD0" w14:textId="77777777" w:rsidR="00A6691C" w:rsidRDefault="00A6691C" w:rsidP="00A6691C"/>
    <w:p w14:paraId="065217E7" w14:textId="77777777" w:rsidR="00A6691C" w:rsidRDefault="00A6691C" w:rsidP="00A6691C"/>
    <w:p w14:paraId="166BB517" w14:textId="77777777" w:rsidR="00A6691C" w:rsidRPr="00AC05C0" w:rsidRDefault="00A6691C" w:rsidP="00A6691C"/>
    <w:p w14:paraId="3D0EE15D" w14:textId="77777777" w:rsidR="00A6691C" w:rsidRDefault="00A6691C" w:rsidP="00A6691C">
      <w:pPr>
        <w:jc w:val="left"/>
      </w:pPr>
      <w:bookmarkStart w:id="1" w:name="_Mission_01–_Le"/>
      <w:bookmarkStart w:id="2" w:name="_Réflexion_03_–"/>
      <w:bookmarkStart w:id="3" w:name="_Réflexion_04_–"/>
      <w:bookmarkEnd w:id="1"/>
      <w:bookmarkEnd w:id="2"/>
      <w:bookmarkEnd w:id="3"/>
      <w:r>
        <w:rPr>
          <w:b/>
        </w:rPr>
        <w:br w:type="page"/>
      </w:r>
    </w:p>
    <w:p w14:paraId="7EE8747D" w14:textId="77777777" w:rsidR="00566715" w:rsidRDefault="00566715"/>
    <w:sectPr w:rsidR="00566715" w:rsidSect="00EE69BB">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Century Std Light">
    <w:altName w:val="ITC Century Std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702A"/>
    <w:multiLevelType w:val="hybridMultilevel"/>
    <w:tmpl w:val="768C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F2F59"/>
    <w:multiLevelType w:val="hybridMultilevel"/>
    <w:tmpl w:val="692EAB9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6F84089"/>
    <w:multiLevelType w:val="hybridMultilevel"/>
    <w:tmpl w:val="EF7AE56C"/>
    <w:lvl w:ilvl="0" w:tplc="FDCAED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27649886">
    <w:abstractNumId w:val="0"/>
  </w:num>
  <w:num w:numId="2" w16cid:durableId="480461402">
    <w:abstractNumId w:val="2"/>
  </w:num>
  <w:num w:numId="3" w16cid:durableId="180388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1C"/>
    <w:rsid w:val="001F7D9C"/>
    <w:rsid w:val="0020251F"/>
    <w:rsid w:val="00566715"/>
    <w:rsid w:val="006A386F"/>
    <w:rsid w:val="0099052A"/>
    <w:rsid w:val="00A6691C"/>
    <w:rsid w:val="00B62DE7"/>
    <w:rsid w:val="00EE6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C6B"/>
  <w15:chartTrackingRefBased/>
  <w15:docId w15:val="{65F30D60-1A3F-403D-9399-D98C4E5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A6691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91C"/>
    <w:rPr>
      <w:rFonts w:ascii="Arial" w:eastAsia="Times New Roman" w:hAnsi="Arial" w:cs="Arial"/>
      <w:b/>
      <w:color w:val="000000"/>
      <w:sz w:val="28"/>
      <w:szCs w:val="20"/>
      <w:lang w:eastAsia="fr-FR"/>
    </w:rPr>
  </w:style>
  <w:style w:type="character" w:styleId="Lienhypertexte">
    <w:name w:val="Hyperlink"/>
    <w:uiPriority w:val="99"/>
    <w:unhideWhenUsed/>
    <w:rsid w:val="00A6691C"/>
    <w:rPr>
      <w:color w:val="0000FF"/>
      <w:u w:val="single"/>
    </w:rPr>
  </w:style>
  <w:style w:type="paragraph" w:styleId="Paragraphedeliste">
    <w:name w:val="List Paragraph"/>
    <w:basedOn w:val="Normal"/>
    <w:uiPriority w:val="34"/>
    <w:qFormat/>
    <w:rsid w:val="00A6691C"/>
    <w:pPr>
      <w:ind w:left="720"/>
      <w:contextualSpacing/>
    </w:pPr>
  </w:style>
  <w:style w:type="character" w:styleId="Marquedecommentaire">
    <w:name w:val="annotation reference"/>
    <w:basedOn w:val="Policepardfaut"/>
    <w:uiPriority w:val="99"/>
    <w:semiHidden/>
    <w:unhideWhenUsed/>
    <w:rsid w:val="00A6691C"/>
    <w:rPr>
      <w:sz w:val="16"/>
      <w:szCs w:val="16"/>
    </w:rPr>
  </w:style>
  <w:style w:type="paragraph" w:styleId="Commentaire">
    <w:name w:val="annotation text"/>
    <w:basedOn w:val="Normal"/>
    <w:link w:val="CommentaireCar"/>
    <w:uiPriority w:val="99"/>
    <w:semiHidden/>
    <w:unhideWhenUsed/>
    <w:rsid w:val="00A6691C"/>
    <w:rPr>
      <w:sz w:val="20"/>
      <w:szCs w:val="20"/>
    </w:rPr>
  </w:style>
  <w:style w:type="character" w:customStyle="1" w:styleId="CommentaireCar">
    <w:name w:val="Commentaire Car"/>
    <w:basedOn w:val="Policepardfaut"/>
    <w:link w:val="Commentaire"/>
    <w:uiPriority w:val="99"/>
    <w:semiHidden/>
    <w:rsid w:val="00A6691C"/>
    <w:rPr>
      <w:rFonts w:ascii="Arial" w:eastAsia="Calibri" w:hAnsi="Arial" w:cs="Times New Roman"/>
      <w:sz w:val="20"/>
      <w:szCs w:val="20"/>
    </w:rPr>
  </w:style>
  <w:style w:type="paragraph" w:customStyle="1" w:styleId="Default">
    <w:name w:val="Default"/>
    <w:rsid w:val="0099052A"/>
    <w:pPr>
      <w:autoSpaceDE w:val="0"/>
      <w:autoSpaceDN w:val="0"/>
      <w:adjustRightInd w:val="0"/>
      <w:spacing w:after="0" w:line="240" w:lineRule="auto"/>
    </w:pPr>
    <w:rPr>
      <w:rFonts w:ascii="ITC Century Std Light" w:hAnsi="ITC Century Std Light" w:cs="ITC Century Std Light"/>
      <w:color w:val="000000"/>
      <w:sz w:val="24"/>
      <w:szCs w:val="24"/>
    </w:rPr>
  </w:style>
  <w:style w:type="paragraph" w:customStyle="1" w:styleId="Pa8">
    <w:name w:val="Pa8"/>
    <w:basedOn w:val="Default"/>
    <w:next w:val="Default"/>
    <w:uiPriority w:val="99"/>
    <w:rsid w:val="0099052A"/>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lemoci.com/" TargetMode="External"/><Relationship Id="rId5" Type="http://schemas.openxmlformats.org/officeDocument/2006/relationships/image" Target="media/image1.png"/><Relationship Id="rId10" Type="http://schemas.openxmlformats.org/officeDocument/2006/relationships/hyperlink" Target="http://www.lemoci.com/" TargetMode="External"/><Relationship Id="rId4" Type="http://schemas.openxmlformats.org/officeDocument/2006/relationships/webSettings" Target="webSettings.xml"/><Relationship Id="rId9" Type="http://schemas.openxmlformats.org/officeDocument/2006/relationships/hyperlink" Target="http://www.lemoci.com/la-gestion-du-risque-client-a-linternational-un-nouveau-guide-moci-pour-les-entrepreneurs-audaci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2015-12-28T18:03:00Z</dcterms:created>
  <dcterms:modified xsi:type="dcterms:W3CDTF">2023-03-23T20:09:00Z</dcterms:modified>
</cp:coreProperties>
</file>