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34"/>
        <w:gridCol w:w="6523"/>
        <w:gridCol w:w="2207"/>
      </w:tblGrid>
      <w:tr w:rsidR="003C6F48" w:rsidRPr="00750F64" w14:paraId="3630FEA3" w14:textId="77777777" w:rsidTr="007D5610">
        <w:trPr>
          <w:trHeight w:val="567"/>
        </w:trPr>
        <w:tc>
          <w:tcPr>
            <w:tcW w:w="7857" w:type="dxa"/>
            <w:gridSpan w:val="2"/>
            <w:shd w:val="clear" w:color="auto" w:fill="92D050"/>
            <w:vAlign w:val="center"/>
          </w:tcPr>
          <w:p w14:paraId="0C0A2AB7" w14:textId="77777777" w:rsidR="003C6F48" w:rsidRPr="003F52C5" w:rsidRDefault="003C6F48" w:rsidP="007D5610">
            <w:pPr>
              <w:pStyle w:val="Titre2"/>
              <w:spacing w:before="120"/>
              <w:jc w:val="center"/>
              <w:rPr>
                <w:szCs w:val="22"/>
              </w:rPr>
            </w:pPr>
            <w:bookmarkStart w:id="0" w:name="_Hlk27586794"/>
            <w:r w:rsidRPr="003F52C5">
              <w:rPr>
                <w:szCs w:val="22"/>
              </w:rPr>
              <w:t>Mission 3 – Évaluer les risques sur un pays</w:t>
            </w:r>
          </w:p>
        </w:tc>
        <w:tc>
          <w:tcPr>
            <w:tcW w:w="2207" w:type="dxa"/>
            <w:shd w:val="clear" w:color="auto" w:fill="92D050"/>
            <w:vAlign w:val="center"/>
          </w:tcPr>
          <w:p w14:paraId="7D15537E" w14:textId="77777777" w:rsidR="003C6F48" w:rsidRPr="00750F64" w:rsidRDefault="003C6F48" w:rsidP="007D5610">
            <w:pPr>
              <w:jc w:val="center"/>
              <w:rPr>
                <w:b/>
              </w:rPr>
            </w:pPr>
            <w:r>
              <w:rPr>
                <w:noProof/>
                <w:szCs w:val="20"/>
              </w:rPr>
              <w:drawing>
                <wp:inline distT="0" distB="0" distL="0" distR="0" wp14:anchorId="12DEFDDC" wp14:editId="0FBD8B2F">
                  <wp:extent cx="1264285" cy="536575"/>
                  <wp:effectExtent l="0" t="0" r="0" b="0"/>
                  <wp:docPr id="14" name="Image 1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536575"/>
                          </a:xfrm>
                          <a:prstGeom prst="rect">
                            <a:avLst/>
                          </a:prstGeom>
                          <a:noFill/>
                          <a:ln>
                            <a:noFill/>
                          </a:ln>
                        </pic:spPr>
                      </pic:pic>
                    </a:graphicData>
                  </a:graphic>
                </wp:inline>
              </w:drawing>
            </w:r>
          </w:p>
        </w:tc>
      </w:tr>
      <w:tr w:rsidR="003C6F48" w:rsidRPr="003C6F48" w14:paraId="15D17015" w14:textId="77777777" w:rsidTr="007D5610">
        <w:tblPrEx>
          <w:shd w:val="clear" w:color="auto" w:fill="FFFF00"/>
        </w:tblPrEx>
        <w:trPr>
          <w:trHeight w:val="386"/>
        </w:trPr>
        <w:tc>
          <w:tcPr>
            <w:tcW w:w="1334" w:type="dxa"/>
            <w:shd w:val="clear" w:color="auto" w:fill="92D050"/>
            <w:vAlign w:val="center"/>
          </w:tcPr>
          <w:p w14:paraId="10A5826B" w14:textId="77777777" w:rsidR="003C6F48" w:rsidRPr="003C6F48" w:rsidRDefault="003C6F48" w:rsidP="007D5610">
            <w:pPr>
              <w:rPr>
                <w:sz w:val="20"/>
                <w:szCs w:val="20"/>
              </w:rPr>
            </w:pPr>
            <w:r w:rsidRPr="003C6F48">
              <w:rPr>
                <w:sz w:val="20"/>
                <w:szCs w:val="20"/>
              </w:rPr>
              <w:t>Durée : 40’</w:t>
            </w:r>
          </w:p>
        </w:tc>
        <w:tc>
          <w:tcPr>
            <w:tcW w:w="6523" w:type="dxa"/>
            <w:shd w:val="clear" w:color="auto" w:fill="92D050"/>
          </w:tcPr>
          <w:p w14:paraId="3888F61F" w14:textId="77777777" w:rsidR="003C6F48" w:rsidRPr="003C6F48" w:rsidRDefault="003C6F48" w:rsidP="007D5610">
            <w:pPr>
              <w:jc w:val="center"/>
              <w:rPr>
                <w:sz w:val="20"/>
                <w:szCs w:val="20"/>
              </w:rPr>
            </w:pPr>
            <w:r w:rsidRPr="003C6F48">
              <w:rPr>
                <w:noProof/>
                <w:sz w:val="20"/>
                <w:szCs w:val="20"/>
              </w:rPr>
              <w:drawing>
                <wp:inline distT="0" distB="0" distL="0" distR="0" wp14:anchorId="75914EA1" wp14:editId="62827E68">
                  <wp:extent cx="324000" cy="324000"/>
                  <wp:effectExtent l="0" t="0" r="0" b="0"/>
                  <wp:docPr id="51" name="Graphique 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3C6F48">
              <w:rPr>
                <w:sz w:val="20"/>
                <w:szCs w:val="20"/>
              </w:rPr>
              <w:t>ou</w:t>
            </w:r>
            <w:r w:rsidRPr="003C6F48">
              <w:rPr>
                <w:noProof/>
                <w:sz w:val="20"/>
                <w:szCs w:val="20"/>
              </w:rPr>
              <w:drawing>
                <wp:inline distT="0" distB="0" distL="0" distR="0" wp14:anchorId="433848CD" wp14:editId="614DC553">
                  <wp:extent cx="360000" cy="360000"/>
                  <wp:effectExtent l="0" t="0" r="0" b="2540"/>
                  <wp:docPr id="52" name="Graphique 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7956E664" w14:textId="77777777" w:rsidR="003C6F48" w:rsidRPr="003C6F48" w:rsidRDefault="003C6F48" w:rsidP="007D5610">
            <w:pPr>
              <w:jc w:val="center"/>
              <w:rPr>
                <w:bCs/>
                <w:sz w:val="20"/>
                <w:szCs w:val="20"/>
              </w:rPr>
            </w:pPr>
            <w:r w:rsidRPr="003C6F48">
              <w:rPr>
                <w:bCs/>
                <w:sz w:val="20"/>
                <w:szCs w:val="20"/>
              </w:rPr>
              <w:t>Source</w:t>
            </w:r>
          </w:p>
        </w:tc>
      </w:tr>
    </w:tbl>
    <w:p w14:paraId="1EC5A2E2" w14:textId="77777777" w:rsidR="003C6F48" w:rsidRPr="00774FA2" w:rsidRDefault="003C6F48" w:rsidP="003C6F48">
      <w:pPr>
        <w:pStyle w:val="Titre2"/>
        <w:spacing w:before="120"/>
        <w:rPr>
          <w:noProof/>
        </w:rPr>
      </w:pPr>
      <w:r w:rsidRPr="00774FA2">
        <w:rPr>
          <w:noProof/>
        </w:rPr>
        <w:t>Contexte professionnel</w:t>
      </w:r>
    </w:p>
    <w:p w14:paraId="1F0675FF" w14:textId="77777777" w:rsidR="003C6F48" w:rsidRPr="003C6F48" w:rsidRDefault="003C6F48" w:rsidP="003C6F48">
      <w:pPr>
        <w:spacing w:before="120"/>
        <w:rPr>
          <w:rFonts w:cs="Arial"/>
          <w:noProof/>
          <w:sz w:val="20"/>
          <w:szCs w:val="20"/>
        </w:rPr>
      </w:pPr>
      <w:r w:rsidRPr="003C6F48">
        <w:rPr>
          <w:rFonts w:cs="Arial"/>
          <w:noProof/>
          <w:sz w:val="20"/>
          <w:szCs w:val="20"/>
        </w:rPr>
        <w:t xml:space="preserve">M. Gilles Sacardi, directeur de la société TransLed, est de retour de Moscou, où il a participé au salon </w:t>
      </w:r>
      <w:r w:rsidRPr="003C6F48">
        <w:rPr>
          <w:sz w:val="20"/>
          <w:szCs w:val="20"/>
        </w:rPr>
        <w:t>OTDYKH LUXURY</w:t>
      </w:r>
      <w:r w:rsidRPr="003C6F48">
        <w:rPr>
          <w:rFonts w:cs="Arial"/>
          <w:noProof/>
          <w:sz w:val="20"/>
          <w:szCs w:val="20"/>
        </w:rPr>
        <w:t xml:space="preserve">. Il a eu quelques contacts avec des revendeurs intéréssés par la nouvelle collection de sacs en cuire. </w:t>
      </w:r>
      <w:r w:rsidRPr="003C6F48">
        <w:rPr>
          <w:sz w:val="20"/>
          <w:szCs w:val="20"/>
        </w:rPr>
        <w:t xml:space="preserve">Parmi eux, la société Tsum (groupe Mercury) envisage une commande de 180 sacs à l’occasion de l’ouverture de 8 magasins situés à Moscou, Saint-Pétersbourg, Novossibirsk Iekaterinbourg. </w:t>
      </w:r>
      <w:r w:rsidRPr="003C6F48">
        <w:rPr>
          <w:rFonts w:cs="Arial"/>
          <w:noProof/>
          <w:sz w:val="20"/>
          <w:szCs w:val="20"/>
        </w:rPr>
        <w:t xml:space="preserve">Ils ont demandé des échantillons. N'ayant aucune expérience à l'export, il hésite à consolider ces contacts en participant à un autre salon Tsvztnooy, spécialisé dans la distribution de produits de luxe à Moscou du 15 au 17 mars prochain. </w:t>
      </w:r>
    </w:p>
    <w:p w14:paraId="55E96C76" w14:textId="77777777" w:rsidR="003C6F48" w:rsidRPr="003C6F48" w:rsidRDefault="003C6F48" w:rsidP="003C6F48">
      <w:pPr>
        <w:autoSpaceDE w:val="0"/>
        <w:autoSpaceDN w:val="0"/>
        <w:adjustRightInd w:val="0"/>
        <w:spacing w:before="120" w:line="211" w:lineRule="atLeast"/>
        <w:rPr>
          <w:rFonts w:cs="Arial"/>
          <w:sz w:val="20"/>
          <w:szCs w:val="20"/>
          <w:lang w:eastAsia="fr-FR"/>
        </w:rPr>
      </w:pPr>
      <w:r w:rsidRPr="003C6F48">
        <w:rPr>
          <w:rFonts w:cs="Arial"/>
          <w:sz w:val="20"/>
          <w:szCs w:val="20"/>
          <w:lang w:eastAsia="fr-FR"/>
        </w:rPr>
        <w:t>Conscient qu’il ne faut pas se décider à l’aveugle et qu’il doit convaincre ses employés avant de se lancer dans ce nouveau marché, M. Sacardi vous demande de réaliser une syn</w:t>
      </w:r>
      <w:r w:rsidRPr="003C6F48">
        <w:rPr>
          <w:rFonts w:cs="Arial"/>
          <w:sz w:val="20"/>
          <w:szCs w:val="20"/>
          <w:lang w:eastAsia="fr-FR"/>
        </w:rPr>
        <w:softHyphen/>
        <w:t xml:space="preserve">thèse du marché russe. </w:t>
      </w:r>
    </w:p>
    <w:p w14:paraId="76F2C6E0" w14:textId="77777777" w:rsidR="003C6F48" w:rsidRPr="00774FA2" w:rsidRDefault="003C6F48" w:rsidP="003C6F48">
      <w:pPr>
        <w:pStyle w:val="Titre2"/>
        <w:spacing w:before="240"/>
        <w:rPr>
          <w:noProof/>
        </w:rPr>
      </w:pPr>
      <w:r w:rsidRPr="00774FA2">
        <w:rPr>
          <w:noProof/>
        </w:rPr>
        <w:t>Travail à faire</w:t>
      </w:r>
    </w:p>
    <w:p w14:paraId="5AC481AD" w14:textId="77777777" w:rsidR="003C6F48" w:rsidRPr="003C6F48" w:rsidRDefault="003C6F48" w:rsidP="003C6F48">
      <w:pPr>
        <w:autoSpaceDE w:val="0"/>
        <w:autoSpaceDN w:val="0"/>
        <w:adjustRightInd w:val="0"/>
        <w:spacing w:before="120" w:line="211" w:lineRule="atLeast"/>
        <w:rPr>
          <w:rFonts w:cs="Arial"/>
          <w:sz w:val="20"/>
          <w:szCs w:val="20"/>
          <w:lang w:eastAsia="fr-FR"/>
        </w:rPr>
      </w:pPr>
      <w:r w:rsidRPr="003C6F48">
        <w:rPr>
          <w:rFonts w:cs="Arial"/>
          <w:sz w:val="20"/>
          <w:szCs w:val="20"/>
          <w:lang w:eastAsia="fr-FR"/>
        </w:rPr>
        <w:t xml:space="preserve">À l’aide des </w:t>
      </w:r>
      <w:r w:rsidRPr="003C6F48">
        <w:rPr>
          <w:rFonts w:cs="Arial"/>
          <w:b/>
          <w:bCs/>
          <w:sz w:val="20"/>
          <w:szCs w:val="20"/>
          <w:lang w:eastAsia="fr-FR"/>
        </w:rPr>
        <w:t xml:space="preserve">documents 1 </w:t>
      </w:r>
      <w:r w:rsidRPr="003C6F48">
        <w:rPr>
          <w:rFonts w:cs="Arial"/>
          <w:sz w:val="20"/>
          <w:szCs w:val="20"/>
          <w:lang w:eastAsia="fr-FR"/>
        </w:rPr>
        <w:t xml:space="preserve">à </w:t>
      </w:r>
      <w:r w:rsidRPr="003C6F48">
        <w:rPr>
          <w:rFonts w:cs="Arial"/>
          <w:b/>
          <w:bCs/>
          <w:sz w:val="20"/>
          <w:szCs w:val="20"/>
          <w:lang w:eastAsia="fr-FR"/>
        </w:rPr>
        <w:t>3</w:t>
      </w:r>
      <w:r w:rsidRPr="003C6F48">
        <w:rPr>
          <w:rFonts w:cs="Arial"/>
          <w:sz w:val="20"/>
          <w:szCs w:val="20"/>
          <w:lang w:eastAsia="fr-FR"/>
        </w:rPr>
        <w:t>,</w:t>
      </w:r>
      <w:r w:rsidRPr="003C6F48">
        <w:rPr>
          <w:rFonts w:cs="Arial"/>
          <w:b/>
          <w:bCs/>
          <w:sz w:val="20"/>
          <w:szCs w:val="20"/>
          <w:lang w:eastAsia="fr-FR"/>
        </w:rPr>
        <w:t xml:space="preserve"> </w:t>
      </w:r>
      <w:r w:rsidRPr="003C6F48">
        <w:rPr>
          <w:rFonts w:cs="Arial"/>
          <w:sz w:val="20"/>
          <w:szCs w:val="20"/>
          <w:lang w:eastAsia="fr-FR"/>
        </w:rPr>
        <w:t xml:space="preserve">présentez de manière structurée et complète les différents risques pour une PME française en Russie. </w:t>
      </w:r>
    </w:p>
    <w:p w14:paraId="3FAF9EE4" w14:textId="77777777" w:rsidR="003C6F48" w:rsidRDefault="003C6F48" w:rsidP="003C6F48">
      <w:pPr>
        <w:autoSpaceDE w:val="0"/>
        <w:autoSpaceDN w:val="0"/>
        <w:adjustRightInd w:val="0"/>
        <w:spacing w:before="120" w:line="211" w:lineRule="atLeast"/>
        <w:rPr>
          <w:rFonts w:cs="Arial"/>
          <w:lang w:eastAsia="fr-FR"/>
        </w:rPr>
      </w:pPr>
    </w:p>
    <w:p w14:paraId="4F6F70E3" w14:textId="77777777" w:rsidR="003C6F48" w:rsidRPr="006215E8" w:rsidRDefault="003C6F48" w:rsidP="003C6F48">
      <w:pPr>
        <w:widowControl w:val="0"/>
        <w:autoSpaceDE w:val="0"/>
        <w:autoSpaceDN w:val="0"/>
        <w:adjustRightInd w:val="0"/>
        <w:jc w:val="left"/>
        <w:rPr>
          <w:rFonts w:cs="Arial"/>
          <w:b/>
          <w:sz w:val="24"/>
        </w:rPr>
      </w:pPr>
      <w:r w:rsidRPr="00774FA2">
        <w:rPr>
          <w:rFonts w:cs="Arial"/>
          <w:b/>
          <w:color w:val="FFFFFF" w:themeColor="background1"/>
          <w:sz w:val="24"/>
          <w:highlight w:val="red"/>
        </w:rPr>
        <w:t xml:space="preserve">Doc. 1 </w:t>
      </w:r>
      <w:r w:rsidRPr="00774FA2">
        <w:rPr>
          <w:rFonts w:cs="Arial"/>
          <w:b/>
          <w:color w:val="FFFFFF" w:themeColor="background1"/>
          <w:sz w:val="24"/>
        </w:rPr>
        <w:t xml:space="preserve"> </w:t>
      </w:r>
      <w:r w:rsidRPr="006215E8">
        <w:rPr>
          <w:rFonts w:cs="Arial"/>
          <w:b/>
          <w:sz w:val="24"/>
        </w:rPr>
        <w:t>L’embargo russe fragilise encore plus l’agriculture européenne</w:t>
      </w:r>
    </w:p>
    <w:p w14:paraId="014A8910" w14:textId="77777777" w:rsidR="003C6F48" w:rsidRPr="003C6F48" w:rsidRDefault="003C6F48" w:rsidP="003C6F48">
      <w:pPr>
        <w:widowControl w:val="0"/>
        <w:autoSpaceDE w:val="0"/>
        <w:autoSpaceDN w:val="0"/>
        <w:adjustRightInd w:val="0"/>
        <w:spacing w:before="120" w:after="120"/>
        <w:rPr>
          <w:rFonts w:cs="Arial"/>
          <w:color w:val="262626"/>
          <w:sz w:val="20"/>
          <w:szCs w:val="20"/>
        </w:rPr>
      </w:pPr>
      <w:r w:rsidRPr="003C6F48">
        <w:rPr>
          <w:rFonts w:cs="Arial"/>
          <w:color w:val="262626"/>
          <w:sz w:val="20"/>
          <w:szCs w:val="20"/>
        </w:rPr>
        <w:t xml:space="preserve">L'embargo, décidé en août 2014 en représailles aux sanctions occidentales prises contre Moscou pour son soutien aux séparatistes ukrainiens, impose une interdiction totale d’entrée des principaux produits alimentaires – viande, produits laitiers, fruits et légumes et certaines denrées transformées – en provenance de l’Union, mais aussi des États-Unis, de l’Australie, du Canada et de la Norvège. Cependant, c’est la filière agricole européenne qui est le plus affectée dans la mesure où elle fournissait jusque-là 73 % des importations russes désormais soumises à embargo. </w:t>
      </w:r>
    </w:p>
    <w:p w14:paraId="2378E110" w14:textId="77777777" w:rsidR="003C6F48" w:rsidRPr="00F67C0B" w:rsidRDefault="003C6F48" w:rsidP="003C6F48">
      <w:pPr>
        <w:widowControl w:val="0"/>
        <w:autoSpaceDE w:val="0"/>
        <w:autoSpaceDN w:val="0"/>
        <w:adjustRightInd w:val="0"/>
        <w:spacing w:before="120"/>
        <w:rPr>
          <w:rFonts w:cs="Arial"/>
          <w:b/>
          <w:bCs/>
          <w:color w:val="262626"/>
        </w:rPr>
      </w:pPr>
      <w:r w:rsidRPr="00F67C0B">
        <w:rPr>
          <w:rFonts w:cs="Arial"/>
          <w:b/>
          <w:bCs/>
          <w:color w:val="262626"/>
        </w:rPr>
        <w:t>Un climat de tensions et d’incertitude</w:t>
      </w:r>
    </w:p>
    <w:p w14:paraId="6F5EE9C5" w14:textId="77777777" w:rsidR="003C6F48" w:rsidRPr="003C6F48" w:rsidRDefault="003C6F48" w:rsidP="003C6F48">
      <w:pPr>
        <w:widowControl w:val="0"/>
        <w:autoSpaceDE w:val="0"/>
        <w:autoSpaceDN w:val="0"/>
        <w:adjustRightInd w:val="0"/>
        <w:rPr>
          <w:rFonts w:cs="Arial"/>
          <w:color w:val="262626"/>
          <w:sz w:val="20"/>
          <w:szCs w:val="20"/>
        </w:rPr>
      </w:pPr>
      <w:r w:rsidRPr="003C6F48">
        <w:rPr>
          <w:rFonts w:cs="Arial"/>
          <w:color w:val="262626"/>
          <w:sz w:val="20"/>
          <w:szCs w:val="20"/>
        </w:rPr>
        <w:t xml:space="preserve">Les entreprises a priori non concernées par l’embargo russe commencent elles aussi à se poser des questions. </w:t>
      </w:r>
      <w:r w:rsidRPr="003C6F48">
        <w:rPr>
          <w:rFonts w:cs="Arial"/>
          <w:i/>
          <w:iCs/>
          <w:color w:val="262626"/>
          <w:sz w:val="20"/>
          <w:szCs w:val="20"/>
        </w:rPr>
        <w:t>« Le climat de tensions et d’incertitude qui règne entre la Russie et l’Occident pèse également sur le climat des affaires »</w:t>
      </w:r>
      <w:r w:rsidRPr="003C6F48">
        <w:rPr>
          <w:rFonts w:cs="Arial"/>
          <w:color w:val="262626"/>
          <w:sz w:val="20"/>
          <w:szCs w:val="20"/>
        </w:rPr>
        <w:t xml:space="preserve">, souligne un financier français qui a des intérêts en Russie et souhaite conserver l’anonymat. </w:t>
      </w:r>
      <w:r w:rsidRPr="003C6F48">
        <w:rPr>
          <w:rFonts w:cs="Arial"/>
          <w:i/>
          <w:iCs/>
          <w:color w:val="262626"/>
          <w:sz w:val="20"/>
          <w:szCs w:val="20"/>
        </w:rPr>
        <w:t>« La dégradation n’est pas spectaculaire, mais les coopérations deviennent plus difficiles »</w:t>
      </w:r>
      <w:r w:rsidRPr="003C6F48">
        <w:rPr>
          <w:rFonts w:cs="Arial"/>
          <w:color w:val="262626"/>
          <w:sz w:val="20"/>
          <w:szCs w:val="20"/>
        </w:rPr>
        <w:t>, poursuit-il. Pour le projet de voie ferrée rapide entre Moscou et Kazan, les entreprises occidentales ont ainsi toutes été écartées au profit des Chinois. Dans d’autres domaines, l’aéronautique ou les équipements électriques, par exemple, les dossiers traînent, les tracas administratifs se multiplient.</w:t>
      </w:r>
    </w:p>
    <w:p w14:paraId="273B106F" w14:textId="77777777" w:rsidR="003C6F48" w:rsidRPr="009C0E3A" w:rsidRDefault="003C6F48" w:rsidP="003C6F48">
      <w:pPr>
        <w:widowControl w:val="0"/>
        <w:autoSpaceDE w:val="0"/>
        <w:autoSpaceDN w:val="0"/>
        <w:adjustRightInd w:val="0"/>
        <w:spacing w:before="120"/>
        <w:rPr>
          <w:rFonts w:cs="Arial"/>
          <w:color w:val="262626"/>
        </w:rPr>
      </w:pPr>
      <w:r w:rsidRPr="009C0E3A">
        <w:rPr>
          <w:rFonts w:cs="Arial"/>
          <w:b/>
          <w:bCs/>
          <w:color w:val="262626"/>
        </w:rPr>
        <w:t>La mauvaise passe de l’économie russe</w:t>
      </w:r>
    </w:p>
    <w:p w14:paraId="1FF236BC" w14:textId="77777777" w:rsidR="003C6F48" w:rsidRPr="003C6F48" w:rsidRDefault="003C6F48" w:rsidP="003C6F48">
      <w:pPr>
        <w:widowControl w:val="0"/>
        <w:autoSpaceDE w:val="0"/>
        <w:autoSpaceDN w:val="0"/>
        <w:adjustRightInd w:val="0"/>
        <w:rPr>
          <w:rFonts w:cs="Arial"/>
          <w:color w:val="262626"/>
          <w:sz w:val="20"/>
          <w:szCs w:val="20"/>
        </w:rPr>
      </w:pPr>
      <w:r w:rsidRPr="003C6F48">
        <w:rPr>
          <w:rFonts w:cs="Arial"/>
          <w:color w:val="262626"/>
          <w:sz w:val="20"/>
          <w:szCs w:val="20"/>
        </w:rPr>
        <w:t>Après une croissance faible en 2014 (0,8 %), le PIB de la Russie devrait chuter d’au moins 3 % cette année. La plupart des indicateurs économiques sont dans le rouge : les exportations ont baissé de 30 % au premier trimestre et les prix ont augmenté de 16 % depuis que les sanctions économiques européennes ont été mises à exécution, en juillet 2014.</w:t>
      </w:r>
    </w:p>
    <w:p w14:paraId="2A2A9DEB" w14:textId="77777777" w:rsidR="003C6F48" w:rsidRPr="003C6F48" w:rsidRDefault="003C6F48" w:rsidP="003C6F48">
      <w:pPr>
        <w:widowControl w:val="0"/>
        <w:autoSpaceDE w:val="0"/>
        <w:autoSpaceDN w:val="0"/>
        <w:adjustRightInd w:val="0"/>
        <w:rPr>
          <w:rFonts w:cs="Arial"/>
          <w:color w:val="262626"/>
          <w:sz w:val="20"/>
          <w:szCs w:val="20"/>
        </w:rPr>
      </w:pPr>
      <w:r w:rsidRPr="003C6F48">
        <w:rPr>
          <w:rFonts w:cs="Arial"/>
          <w:color w:val="262626"/>
          <w:sz w:val="20"/>
          <w:szCs w:val="20"/>
        </w:rPr>
        <w:t>Le rouble a atteint, jeudi dernier, son plus bas niveau depuis près de cinq mois face à l’euro et au dollar. La monnaie européenne a même dépassé le seuil psychologique des 70 roubles. Ce qui a obligé la banque centrale russe à abaisser son taux directeur à 11 %.</w:t>
      </w:r>
    </w:p>
    <w:p w14:paraId="3FF90F1F" w14:textId="77777777" w:rsidR="003C6F48" w:rsidRPr="003C6F48" w:rsidRDefault="003C6F48" w:rsidP="003C6F48">
      <w:pPr>
        <w:jc w:val="right"/>
        <w:rPr>
          <w:sz w:val="20"/>
        </w:rPr>
      </w:pPr>
      <w:r w:rsidRPr="003C6F48">
        <w:rPr>
          <w:rFonts w:cs="Arial"/>
          <w:bCs/>
          <w:color w:val="363636"/>
          <w:sz w:val="20"/>
          <w:szCs w:val="18"/>
        </w:rPr>
        <w:t xml:space="preserve">Source : </w:t>
      </w:r>
      <w:r w:rsidRPr="003C6F48">
        <w:rPr>
          <w:rFonts w:cs="Arial"/>
          <w:b/>
          <w:bCs/>
          <w:color w:val="363636"/>
          <w:sz w:val="20"/>
          <w:szCs w:val="18"/>
        </w:rPr>
        <w:t xml:space="preserve">Antoine d’Abbundo ; </w:t>
      </w:r>
      <w:hyperlink r:id="rId10" w:history="1">
        <w:r w:rsidRPr="003C6F48">
          <w:rPr>
            <w:rStyle w:val="Lienhypertexte"/>
            <w:rFonts w:cs="Arial"/>
            <w:bCs/>
            <w:sz w:val="20"/>
            <w:szCs w:val="18"/>
          </w:rPr>
          <w:t>http://www.la-croix.com</w:t>
        </w:r>
      </w:hyperlink>
      <w:r w:rsidRPr="003C6F48">
        <w:rPr>
          <w:sz w:val="20"/>
        </w:rPr>
        <w:t xml:space="preserve"> </w:t>
      </w:r>
    </w:p>
    <w:p w14:paraId="50C5EE6E" w14:textId="77777777" w:rsidR="003C6F48" w:rsidRPr="009C0E3A" w:rsidRDefault="003C6F48" w:rsidP="003C6F48">
      <w:pPr>
        <w:widowControl w:val="0"/>
        <w:autoSpaceDE w:val="0"/>
        <w:autoSpaceDN w:val="0"/>
        <w:adjustRightInd w:val="0"/>
        <w:rPr>
          <w:rFonts w:cs="Arial"/>
          <w:color w:val="262626"/>
        </w:rPr>
      </w:pPr>
    </w:p>
    <w:p w14:paraId="5458C774" w14:textId="77777777" w:rsidR="003C6F48" w:rsidRPr="003C6F48" w:rsidRDefault="003C6F48" w:rsidP="003C6F48">
      <w:pPr>
        <w:spacing w:after="120"/>
        <w:jc w:val="left"/>
        <w:rPr>
          <w:b/>
          <w:bCs/>
          <w:sz w:val="24"/>
          <w:szCs w:val="24"/>
        </w:rPr>
      </w:pPr>
      <w:r w:rsidRPr="00774FA2">
        <w:rPr>
          <w:rStyle w:val="Lienhypertexte"/>
          <w:rFonts w:cs="Arial"/>
          <w:b/>
          <w:color w:val="FFFFFF" w:themeColor="background1"/>
          <w:sz w:val="24"/>
          <w:highlight w:val="red"/>
          <w:lang w:eastAsia="fr-FR"/>
        </w:rPr>
        <w:t xml:space="preserve">Doc. 2 </w:t>
      </w:r>
      <w:r w:rsidRPr="00774FA2">
        <w:rPr>
          <w:rStyle w:val="Lienhypertexte"/>
          <w:rFonts w:cs="Arial"/>
          <w:b/>
          <w:color w:val="FFFFFF" w:themeColor="background1"/>
          <w:sz w:val="24"/>
          <w:lang w:eastAsia="fr-FR"/>
        </w:rPr>
        <w:t xml:space="preserve"> </w:t>
      </w:r>
      <w:r w:rsidRPr="003C6F48">
        <w:rPr>
          <w:b/>
          <w:bCs/>
          <w:sz w:val="24"/>
          <w:szCs w:val="24"/>
        </w:rPr>
        <w:t>Risque pays Ducroire (Extrait)</w:t>
      </w:r>
    </w:p>
    <w:p w14:paraId="6CE890A5" w14:textId="77777777" w:rsidR="003C6F48" w:rsidRPr="000930A8" w:rsidRDefault="003C6F48" w:rsidP="003C6F48">
      <w:pPr>
        <w:jc w:val="center"/>
        <w:rPr>
          <w:rStyle w:val="Lienhypertexte"/>
          <w:rFonts w:cs="Arial"/>
          <w:color w:val="000000" w:themeColor="text1"/>
          <w:lang w:eastAsia="fr-FR"/>
        </w:rPr>
      </w:pPr>
      <w:r>
        <w:rPr>
          <w:rFonts w:cs="Arial"/>
          <w:noProof/>
          <w:color w:val="0000FF"/>
          <w:lang w:eastAsia="fr-FR"/>
        </w:rPr>
        <w:drawing>
          <wp:inline distT="0" distB="0" distL="0" distR="0" wp14:anchorId="7F97EDB8" wp14:editId="0287B39E">
            <wp:extent cx="5848047" cy="1078523"/>
            <wp:effectExtent l="0" t="0" r="635" b="7620"/>
            <wp:docPr id="3" name="Picture 3" descr="Une image contenant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Site web&#10;&#10;Description générée automatiquement"/>
                    <pic:cNvPicPr/>
                  </pic:nvPicPr>
                  <pic:blipFill rotWithShape="1">
                    <a:blip r:embed="rId11">
                      <a:extLst>
                        <a:ext uri="{28A0092B-C50C-407E-A947-70E740481C1C}">
                          <a14:useLocalDpi xmlns:a14="http://schemas.microsoft.com/office/drawing/2010/main" val="0"/>
                        </a:ext>
                      </a:extLst>
                    </a:blip>
                    <a:srcRect t="20187" b="54834"/>
                    <a:stretch/>
                  </pic:blipFill>
                  <pic:spPr bwMode="auto">
                    <a:xfrm>
                      <a:off x="0" y="0"/>
                      <a:ext cx="5923616" cy="10924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101EC2C" w14:textId="77777777" w:rsidR="003C6F48" w:rsidRPr="003C6F48" w:rsidRDefault="003C6F48" w:rsidP="003C6F48">
      <w:pPr>
        <w:spacing w:before="120"/>
        <w:rPr>
          <w:rStyle w:val="Lienhypertexte"/>
          <w:rFonts w:cs="Arial"/>
          <w:color w:val="000000" w:themeColor="text1"/>
          <w:sz w:val="20"/>
          <w:szCs w:val="20"/>
          <w:u w:val="none"/>
          <w:lang w:eastAsia="fr-FR"/>
        </w:rPr>
      </w:pPr>
      <w:r w:rsidRPr="003C6F48">
        <w:rPr>
          <w:rStyle w:val="Lienhypertexte"/>
          <w:rFonts w:cs="Arial"/>
          <w:color w:val="000000" w:themeColor="text1"/>
          <w:sz w:val="20"/>
          <w:szCs w:val="20"/>
          <w:u w:val="none"/>
          <w:lang w:eastAsia="fr-FR"/>
        </w:rPr>
        <w:t xml:space="preserve">Conditions de couverture : </w:t>
      </w:r>
    </w:p>
    <w:p w14:paraId="31CE32EB" w14:textId="77777777" w:rsidR="003C6F48" w:rsidRPr="003C6F48" w:rsidRDefault="003C6F48" w:rsidP="003C6F48">
      <w:pPr>
        <w:pStyle w:val="Paragraphedeliste"/>
        <w:numPr>
          <w:ilvl w:val="0"/>
          <w:numId w:val="12"/>
        </w:numPr>
        <w:rPr>
          <w:rStyle w:val="Lienhypertexte"/>
          <w:rFonts w:cs="Arial"/>
          <w:color w:val="000000" w:themeColor="text1"/>
          <w:sz w:val="20"/>
          <w:szCs w:val="20"/>
          <w:u w:val="none"/>
          <w:lang w:eastAsia="fr-FR"/>
        </w:rPr>
      </w:pPr>
      <w:r w:rsidRPr="003C6F48">
        <w:rPr>
          <w:rStyle w:val="Lienhypertexte"/>
          <w:rFonts w:cs="Arial"/>
          <w:color w:val="000000" w:themeColor="text1"/>
          <w:sz w:val="20"/>
          <w:szCs w:val="20"/>
          <w:u w:val="none"/>
          <w:lang w:eastAsia="fr-FR"/>
        </w:rPr>
        <w:t>De préférence pas de couverture des créances en USD</w:t>
      </w:r>
    </w:p>
    <w:p w14:paraId="4E844088" w14:textId="77777777" w:rsidR="003C6F48" w:rsidRPr="003C6F48" w:rsidRDefault="003C6F48" w:rsidP="003C6F48">
      <w:pPr>
        <w:pStyle w:val="Paragraphedeliste"/>
        <w:numPr>
          <w:ilvl w:val="0"/>
          <w:numId w:val="12"/>
        </w:numPr>
        <w:rPr>
          <w:rStyle w:val="Lienhypertexte"/>
          <w:rFonts w:cs="Arial"/>
          <w:color w:val="000000" w:themeColor="text1"/>
          <w:sz w:val="20"/>
          <w:szCs w:val="20"/>
          <w:u w:val="none"/>
          <w:lang w:eastAsia="fr-FR"/>
        </w:rPr>
      </w:pPr>
      <w:r w:rsidRPr="003C6F48">
        <w:rPr>
          <w:rStyle w:val="Lienhypertexte"/>
          <w:rFonts w:cs="Arial"/>
          <w:color w:val="000000" w:themeColor="text1"/>
          <w:sz w:val="20"/>
          <w:szCs w:val="20"/>
          <w:u w:val="none"/>
          <w:lang w:eastAsia="fr-FR"/>
        </w:rPr>
        <w:t>Pas de couverture des transactions non autorisées par les sanctions européennes</w:t>
      </w:r>
    </w:p>
    <w:p w14:paraId="42AC6F1B" w14:textId="77777777" w:rsidR="003C6F48" w:rsidRPr="003C6F48" w:rsidRDefault="003C6F48" w:rsidP="003C6F48">
      <w:pPr>
        <w:jc w:val="right"/>
        <w:rPr>
          <w:rStyle w:val="Lienhypertexte"/>
          <w:rFonts w:cs="Arial"/>
          <w:i/>
          <w:iCs/>
          <w:sz w:val="18"/>
          <w:szCs w:val="18"/>
          <w:u w:val="none"/>
          <w:lang w:eastAsia="fr-FR"/>
        </w:rPr>
      </w:pPr>
      <w:r w:rsidRPr="003C6F48">
        <w:rPr>
          <w:i/>
          <w:iCs/>
          <w:sz w:val="18"/>
          <w:szCs w:val="18"/>
        </w:rPr>
        <w:t>Source :</w:t>
      </w:r>
      <w:r w:rsidRPr="003C6F48">
        <w:rPr>
          <w:rStyle w:val="Lienhypertexte"/>
          <w:rFonts w:cs="Arial"/>
          <w:i/>
          <w:iCs/>
          <w:sz w:val="18"/>
          <w:szCs w:val="18"/>
          <w:u w:val="none"/>
          <w:lang w:eastAsia="fr-FR"/>
        </w:rPr>
        <w:t xml:space="preserve"> www.ducroire.lu</w:t>
      </w:r>
    </w:p>
    <w:p w14:paraId="6C2F4682" w14:textId="77777777" w:rsidR="003C6F48" w:rsidRDefault="003C6F48" w:rsidP="003C6F48">
      <w:pPr>
        <w:jc w:val="left"/>
        <w:rPr>
          <w:rStyle w:val="Lienhypertexte"/>
          <w:rFonts w:cs="Arial"/>
          <w:b/>
          <w:color w:val="FFFFFF" w:themeColor="background1"/>
          <w:sz w:val="24"/>
          <w:szCs w:val="24"/>
          <w:highlight w:val="red"/>
          <w:lang w:eastAsia="fr-FR"/>
        </w:rPr>
      </w:pPr>
    </w:p>
    <w:p w14:paraId="6CB0D20D" w14:textId="77777777" w:rsidR="003C6F48" w:rsidRDefault="003C6F48" w:rsidP="003C6F48">
      <w:pPr>
        <w:jc w:val="left"/>
        <w:rPr>
          <w:rStyle w:val="Lienhypertexte"/>
          <w:rFonts w:cs="Arial"/>
          <w:b/>
          <w:color w:val="FFFFFF" w:themeColor="background1"/>
          <w:sz w:val="24"/>
          <w:szCs w:val="24"/>
          <w:highlight w:val="red"/>
          <w:lang w:eastAsia="fr-FR"/>
        </w:rPr>
      </w:pPr>
    </w:p>
    <w:p w14:paraId="56771B0E" w14:textId="0EC6E16B" w:rsidR="003C6F48" w:rsidRPr="003C6F48" w:rsidRDefault="003C6F48" w:rsidP="003C6F48">
      <w:pPr>
        <w:jc w:val="left"/>
        <w:rPr>
          <w:rStyle w:val="Lienhypertexte"/>
          <w:rFonts w:cs="Arial"/>
          <w:b/>
          <w:color w:val="auto"/>
          <w:sz w:val="24"/>
          <w:szCs w:val="24"/>
          <w:u w:val="none"/>
          <w:lang w:eastAsia="fr-FR"/>
        </w:rPr>
      </w:pPr>
      <w:r w:rsidRPr="00774FA2">
        <w:rPr>
          <w:rStyle w:val="Lienhypertexte"/>
          <w:rFonts w:cs="Arial"/>
          <w:b/>
          <w:color w:val="FFFFFF" w:themeColor="background1"/>
          <w:sz w:val="24"/>
          <w:szCs w:val="24"/>
          <w:highlight w:val="red"/>
          <w:lang w:eastAsia="fr-FR"/>
        </w:rPr>
        <w:t>Doc. 3</w:t>
      </w:r>
      <w:r w:rsidRPr="003C6F48">
        <w:rPr>
          <w:rStyle w:val="Lienhypertexte"/>
          <w:rFonts w:cs="Arial"/>
          <w:b/>
          <w:color w:val="auto"/>
          <w:sz w:val="24"/>
          <w:szCs w:val="24"/>
          <w:u w:val="none"/>
          <w:lang w:eastAsia="fr-FR"/>
        </w:rPr>
        <w:t xml:space="preserve"> Appréciation du risque COFACE</w:t>
      </w:r>
    </w:p>
    <w:p w14:paraId="3255DC4D" w14:textId="77777777" w:rsidR="003C6F48" w:rsidRPr="003C6F48" w:rsidRDefault="003C6F48" w:rsidP="003C6F48">
      <w:pPr>
        <w:spacing w:before="120"/>
        <w:rPr>
          <w:rStyle w:val="Lienhypertexte"/>
          <w:rFonts w:cs="Arial"/>
          <w:b/>
          <w:color w:val="auto"/>
          <w:szCs w:val="24"/>
          <w:u w:val="none"/>
          <w:lang w:eastAsia="fr-FR"/>
        </w:rPr>
      </w:pPr>
      <w:r w:rsidRPr="003C6F48">
        <w:rPr>
          <w:rStyle w:val="Lienhypertexte"/>
          <w:rFonts w:cs="Arial"/>
          <w:b/>
          <w:color w:val="auto"/>
          <w:szCs w:val="24"/>
          <w:u w:val="none"/>
          <w:lang w:eastAsia="fr-FR"/>
        </w:rPr>
        <w:t>Une situation politique et sociale fragile et un environnement des affaires déficient</w:t>
      </w:r>
    </w:p>
    <w:p w14:paraId="22F14540" w14:textId="77777777" w:rsidR="003C6F48" w:rsidRPr="003C6F48" w:rsidRDefault="003C6F48" w:rsidP="003C6F48">
      <w:pPr>
        <w:spacing w:before="120"/>
        <w:rPr>
          <w:rStyle w:val="Lienhypertexte"/>
          <w:rFonts w:cs="Arial"/>
          <w:color w:val="auto"/>
          <w:u w:val="none"/>
          <w:lang w:eastAsia="fr-FR"/>
        </w:rPr>
      </w:pPr>
      <w:r w:rsidRPr="003C6F48">
        <w:rPr>
          <w:rStyle w:val="Lienhypertexte"/>
          <w:rFonts w:cs="Arial"/>
          <w:color w:val="auto"/>
          <w:u w:val="none"/>
          <w:lang w:eastAsia="fr-FR"/>
        </w:rPr>
        <w:t>La popularité de V. Poutine au niveau national s'est renforcée au moment de l’intervention russe en Crimée en mars 2014. Le mécontentement existe pourtant au sein de la population, comme en témoignent les manifestations organisées en septembre 2014 pour demander l’arrêt des opérations militaires en Ukraine ou en décembre pour contester les reformes du secteur de la santé. La situation sociale pourrait se détériorer davantage dans un contexte de ralentissement économique, de hausse de I‘inflation mais aussi de durcissement du régime se traduisant notamment par un contrôle renforce de I‘État sur les médias et internet qui limite considérablement Ies capacités d’organisation et d'expression des mouvements d'opposition.</w:t>
      </w:r>
    </w:p>
    <w:p w14:paraId="1CFA6279" w14:textId="77777777" w:rsidR="003C6F48" w:rsidRPr="003C6F48" w:rsidRDefault="003C6F48" w:rsidP="003C6F48">
      <w:pPr>
        <w:spacing w:before="120"/>
        <w:rPr>
          <w:rStyle w:val="Lienhypertexte"/>
          <w:rFonts w:cs="Arial"/>
          <w:color w:val="auto"/>
          <w:u w:val="none"/>
          <w:lang w:eastAsia="fr-FR"/>
        </w:rPr>
      </w:pPr>
      <w:r w:rsidRPr="003C6F48">
        <w:rPr>
          <w:rStyle w:val="Lienhypertexte"/>
          <w:rFonts w:cs="Arial"/>
          <w:color w:val="auto"/>
          <w:u w:val="none"/>
          <w:lang w:eastAsia="fr-FR"/>
        </w:rPr>
        <w:t>Les lacunes en matière de protection des droits de propriété, la faiblesse de la gouvernance et le manque de transparence des entreprises affaiblissent fortement l’environnement des affaires. La Russie est ainsi classée au 176</w:t>
      </w:r>
      <w:r w:rsidRPr="003C6F48">
        <w:rPr>
          <w:rStyle w:val="Lienhypertexte"/>
          <w:rFonts w:cs="Arial"/>
          <w:color w:val="auto"/>
          <w:u w:val="none"/>
          <w:vertAlign w:val="superscript"/>
          <w:lang w:eastAsia="fr-FR"/>
        </w:rPr>
        <w:t>e</w:t>
      </w:r>
      <w:r w:rsidRPr="003C6F48">
        <w:rPr>
          <w:rStyle w:val="Lienhypertexte"/>
          <w:rFonts w:cs="Arial"/>
          <w:color w:val="auto"/>
          <w:u w:val="none"/>
          <w:lang w:eastAsia="fr-FR"/>
        </w:rPr>
        <w:t xml:space="preserve"> rang (sur 215) selon I'indice de gouvernance de la Banque Mondiale en matière de lutte contre la corruption qui reste un point faible récurrent.</w:t>
      </w:r>
    </w:p>
    <w:p w14:paraId="4CA0749A" w14:textId="77777777" w:rsidR="003C6F48" w:rsidRPr="003C6F48" w:rsidRDefault="003C6F48" w:rsidP="003C6F48">
      <w:pPr>
        <w:spacing w:before="120"/>
        <w:jc w:val="right"/>
        <w:rPr>
          <w:rStyle w:val="Lienhypertexte"/>
          <w:rFonts w:cs="Arial"/>
          <w:color w:val="auto"/>
          <w:sz w:val="18"/>
          <w:szCs w:val="18"/>
          <w:u w:val="none"/>
          <w:lang w:eastAsia="fr-FR"/>
        </w:rPr>
      </w:pPr>
      <w:r w:rsidRPr="003C6F48">
        <w:rPr>
          <w:rStyle w:val="Lienhypertexte"/>
          <w:rFonts w:cs="Arial"/>
          <w:i/>
          <w:color w:val="auto"/>
          <w:sz w:val="18"/>
          <w:szCs w:val="18"/>
          <w:u w:val="none"/>
          <w:lang w:eastAsia="fr-FR"/>
        </w:rPr>
        <w:t>Source : COFACE</w:t>
      </w:r>
    </w:p>
    <w:p w14:paraId="42A61E13" w14:textId="77777777" w:rsidR="003C6F48" w:rsidRDefault="003C6F48" w:rsidP="003C6F48">
      <w:pPr>
        <w:autoSpaceDE w:val="0"/>
        <w:autoSpaceDN w:val="0"/>
        <w:adjustRightInd w:val="0"/>
        <w:spacing w:before="120" w:line="211" w:lineRule="atLeast"/>
        <w:rPr>
          <w:rFonts w:cs="Arial"/>
          <w:lang w:eastAsia="fr-FR"/>
        </w:rPr>
      </w:pPr>
    </w:p>
    <w:p w14:paraId="79DC887B" w14:textId="77777777" w:rsidR="003C6F48" w:rsidRDefault="003C6F48" w:rsidP="003C6F48">
      <w:pPr>
        <w:autoSpaceDE w:val="0"/>
        <w:autoSpaceDN w:val="0"/>
        <w:adjustRightInd w:val="0"/>
        <w:spacing w:before="120" w:line="211" w:lineRule="atLeast"/>
        <w:rPr>
          <w:rFonts w:cs="Arial"/>
          <w:lang w:eastAsia="fr-FR"/>
        </w:rPr>
      </w:pPr>
    </w:p>
    <w:bookmarkEnd w:id="0"/>
    <w:p w14:paraId="1C6CBEC3" w14:textId="77777777" w:rsidR="003C6F48" w:rsidRDefault="003C6F48" w:rsidP="003C6F48">
      <w:pPr>
        <w:autoSpaceDE w:val="0"/>
        <w:autoSpaceDN w:val="0"/>
        <w:adjustRightInd w:val="0"/>
        <w:spacing w:before="120" w:line="211" w:lineRule="atLeast"/>
        <w:rPr>
          <w:rFonts w:cs="Arial"/>
          <w:lang w:eastAsia="fr-FR"/>
        </w:rPr>
      </w:pPr>
    </w:p>
    <w:p w14:paraId="4775B04E" w14:textId="77777777" w:rsidR="00566715" w:rsidRPr="003C6F48" w:rsidRDefault="00566715" w:rsidP="003C6F48"/>
    <w:sectPr w:rsidR="00566715" w:rsidRPr="003C6F48" w:rsidSect="00D97F61">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ITC Century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F4335"/>
    <w:multiLevelType w:val="hybridMultilevel"/>
    <w:tmpl w:val="C42F0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6A644"/>
    <w:multiLevelType w:val="hybridMultilevel"/>
    <w:tmpl w:val="D57582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C0238"/>
    <w:multiLevelType w:val="hybridMultilevel"/>
    <w:tmpl w:val="06F4434E"/>
    <w:lvl w:ilvl="0" w:tplc="4762CE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0290246"/>
    <w:multiLevelType w:val="hybridMultilevel"/>
    <w:tmpl w:val="C20E05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246512"/>
    <w:multiLevelType w:val="hybridMultilevel"/>
    <w:tmpl w:val="FF8E1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717A2C"/>
    <w:multiLevelType w:val="hybridMultilevel"/>
    <w:tmpl w:val="7472B8DC"/>
    <w:lvl w:ilvl="0" w:tplc="57E8BB9C">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FA121A"/>
    <w:multiLevelType w:val="hybridMultilevel"/>
    <w:tmpl w:val="60540BB6"/>
    <w:lvl w:ilvl="0" w:tplc="6EC023EC">
      <w:start w:val="1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2B6F"/>
    <w:multiLevelType w:val="hybridMultilevel"/>
    <w:tmpl w:val="E50CA6C8"/>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6C7C5E"/>
    <w:multiLevelType w:val="hybridMultilevel"/>
    <w:tmpl w:val="CDBB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022987">
    <w:abstractNumId w:val="10"/>
  </w:num>
  <w:num w:numId="2" w16cid:durableId="1950819313">
    <w:abstractNumId w:val="2"/>
  </w:num>
  <w:num w:numId="3" w16cid:durableId="1322083416">
    <w:abstractNumId w:val="8"/>
  </w:num>
  <w:num w:numId="4" w16cid:durableId="1563636876">
    <w:abstractNumId w:val="7"/>
  </w:num>
  <w:num w:numId="5" w16cid:durableId="1498767253">
    <w:abstractNumId w:val="3"/>
  </w:num>
  <w:num w:numId="6" w16cid:durableId="1636839006">
    <w:abstractNumId w:val="11"/>
  </w:num>
  <w:num w:numId="7" w16cid:durableId="1211957576">
    <w:abstractNumId w:val="0"/>
  </w:num>
  <w:num w:numId="8" w16cid:durableId="506486500">
    <w:abstractNumId w:val="5"/>
  </w:num>
  <w:num w:numId="9" w16cid:durableId="2039158122">
    <w:abstractNumId w:val="1"/>
  </w:num>
  <w:num w:numId="10" w16cid:durableId="1105690561">
    <w:abstractNumId w:val="4"/>
  </w:num>
  <w:num w:numId="11" w16cid:durableId="1374769080">
    <w:abstractNumId w:val="6"/>
  </w:num>
  <w:num w:numId="12" w16cid:durableId="112679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06"/>
    <w:rsid w:val="003C6F48"/>
    <w:rsid w:val="00566715"/>
    <w:rsid w:val="005F7F71"/>
    <w:rsid w:val="0061498E"/>
    <w:rsid w:val="00635443"/>
    <w:rsid w:val="00B51D3A"/>
    <w:rsid w:val="00CB5DC8"/>
    <w:rsid w:val="00CF2799"/>
    <w:rsid w:val="00D86377"/>
    <w:rsid w:val="00D97F61"/>
    <w:rsid w:val="00DD3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DBC9"/>
  <w15:chartTrackingRefBased/>
  <w15:docId w15:val="{E1A14AB1-71C3-4998-8A9C-2EA9657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06"/>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DD3C0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3C06"/>
    <w:rPr>
      <w:rFonts w:ascii="Arial" w:eastAsia="Times New Roman" w:hAnsi="Arial" w:cs="Arial"/>
      <w:b/>
      <w:color w:val="000000"/>
      <w:sz w:val="28"/>
      <w:szCs w:val="20"/>
      <w:lang w:eastAsia="fr-FR"/>
    </w:rPr>
  </w:style>
  <w:style w:type="character" w:styleId="Lienhypertexte">
    <w:name w:val="Hyperlink"/>
    <w:uiPriority w:val="99"/>
    <w:unhideWhenUsed/>
    <w:rsid w:val="00DD3C06"/>
    <w:rPr>
      <w:color w:val="0000FF"/>
      <w:u w:val="single"/>
    </w:rPr>
  </w:style>
  <w:style w:type="paragraph" w:styleId="NormalWeb">
    <w:name w:val="Normal (Web)"/>
    <w:basedOn w:val="Normal"/>
    <w:uiPriority w:val="99"/>
    <w:rsid w:val="00DD3C06"/>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DD3C0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C06"/>
    <w:pPr>
      <w:ind w:left="720"/>
      <w:contextualSpacing/>
    </w:pPr>
  </w:style>
  <w:style w:type="character" w:styleId="Marquedecommentaire">
    <w:name w:val="annotation reference"/>
    <w:basedOn w:val="Policepardfaut"/>
    <w:uiPriority w:val="99"/>
    <w:semiHidden/>
    <w:unhideWhenUsed/>
    <w:rsid w:val="00DD3C06"/>
    <w:rPr>
      <w:sz w:val="16"/>
      <w:szCs w:val="16"/>
    </w:rPr>
  </w:style>
  <w:style w:type="paragraph" w:styleId="Commentaire">
    <w:name w:val="annotation text"/>
    <w:basedOn w:val="Normal"/>
    <w:link w:val="CommentaireCar"/>
    <w:uiPriority w:val="99"/>
    <w:semiHidden/>
    <w:unhideWhenUsed/>
    <w:rsid w:val="00DD3C06"/>
    <w:rPr>
      <w:sz w:val="20"/>
      <w:szCs w:val="20"/>
    </w:rPr>
  </w:style>
  <w:style w:type="character" w:customStyle="1" w:styleId="CommentaireCar">
    <w:name w:val="Commentaire Car"/>
    <w:basedOn w:val="Policepardfaut"/>
    <w:link w:val="Commentaire"/>
    <w:uiPriority w:val="99"/>
    <w:semiHidden/>
    <w:rsid w:val="00DD3C06"/>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B51D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D3A"/>
    <w:rPr>
      <w:rFonts w:ascii="Segoe UI" w:eastAsia="Calibri" w:hAnsi="Segoe UI" w:cs="Segoe UI"/>
      <w:sz w:val="18"/>
      <w:szCs w:val="18"/>
    </w:rPr>
  </w:style>
  <w:style w:type="paragraph" w:customStyle="1" w:styleId="Default">
    <w:name w:val="Default"/>
    <w:rsid w:val="005F7F71"/>
    <w:pPr>
      <w:autoSpaceDE w:val="0"/>
      <w:autoSpaceDN w:val="0"/>
      <w:adjustRightInd w:val="0"/>
      <w:spacing w:after="0" w:line="240" w:lineRule="auto"/>
    </w:pPr>
    <w:rPr>
      <w:rFonts w:ascii="ITC Century Std Light" w:hAnsi="ITC Century Std Light" w:cs="ITC Century Std Light"/>
      <w:color w:val="000000"/>
      <w:sz w:val="24"/>
      <w:szCs w:val="24"/>
    </w:rPr>
  </w:style>
  <w:style w:type="character" w:customStyle="1" w:styleId="A15">
    <w:name w:val="A15"/>
    <w:uiPriority w:val="99"/>
    <w:rsid w:val="005F7F71"/>
    <w:rPr>
      <w:rFonts w:cs="ITC Century Std Light"/>
      <w:color w:val="000000"/>
    </w:rPr>
  </w:style>
  <w:style w:type="paragraph" w:customStyle="1" w:styleId="Pa41">
    <w:name w:val="Pa41"/>
    <w:basedOn w:val="Default"/>
    <w:next w:val="Default"/>
    <w:uiPriority w:val="99"/>
    <w:rsid w:val="005F7F71"/>
    <w:pPr>
      <w:spacing w:line="191" w:lineRule="atLeast"/>
    </w:pPr>
    <w:rPr>
      <w:rFonts w:cstheme="minorBidi"/>
      <w:color w:val="auto"/>
    </w:rPr>
  </w:style>
  <w:style w:type="paragraph" w:customStyle="1" w:styleId="Pa50">
    <w:name w:val="Pa50"/>
    <w:basedOn w:val="Default"/>
    <w:next w:val="Default"/>
    <w:uiPriority w:val="99"/>
    <w:rsid w:val="005F7F71"/>
    <w:pPr>
      <w:spacing w:line="191" w:lineRule="atLeast"/>
    </w:pPr>
    <w:rPr>
      <w:rFonts w:cstheme="minorBidi"/>
      <w:color w:val="auto"/>
    </w:rPr>
  </w:style>
  <w:style w:type="character" w:customStyle="1" w:styleId="A17">
    <w:name w:val="A17"/>
    <w:uiPriority w:val="99"/>
    <w:rsid w:val="005F7F71"/>
    <w:rPr>
      <w:rFonts w:cs="ITC Century Std Light"/>
      <w:color w:val="000000"/>
      <w:sz w:val="19"/>
      <w:szCs w:val="19"/>
    </w:rPr>
  </w:style>
  <w:style w:type="paragraph" w:customStyle="1" w:styleId="Pa9">
    <w:name w:val="Pa9"/>
    <w:basedOn w:val="Default"/>
    <w:next w:val="Default"/>
    <w:uiPriority w:val="99"/>
    <w:rsid w:val="00D86377"/>
    <w:pPr>
      <w:spacing w:line="211" w:lineRule="atLeast"/>
    </w:pPr>
    <w:rPr>
      <w:rFonts w:ascii="Myriad Pro" w:hAnsi="Myriad Pro" w:cstheme="minorBidi"/>
      <w:color w:val="auto"/>
    </w:rPr>
  </w:style>
  <w:style w:type="character" w:customStyle="1" w:styleId="A14">
    <w:name w:val="A14"/>
    <w:uiPriority w:val="99"/>
    <w:rsid w:val="00D86377"/>
    <w:rPr>
      <w:rFonts w:ascii="ITC Century Std Book" w:hAnsi="ITC Century Std Book" w:cs="ITC Century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la-croix.com"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726</Words>
  <Characters>3995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2015-12-28T21:59:00Z</dcterms:created>
  <dcterms:modified xsi:type="dcterms:W3CDTF">2023-03-24T19:04:00Z</dcterms:modified>
</cp:coreProperties>
</file>