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274"/>
        <w:gridCol w:w="7655"/>
        <w:gridCol w:w="1047"/>
      </w:tblGrid>
      <w:tr w:rsidR="004E4035" w:rsidRPr="00C22356" w14:paraId="1A17C24E" w14:textId="77777777" w:rsidTr="006B53B8">
        <w:trPr>
          <w:trHeight w:val="386"/>
        </w:trPr>
        <w:tc>
          <w:tcPr>
            <w:tcW w:w="9976" w:type="dxa"/>
            <w:gridSpan w:val="3"/>
            <w:shd w:val="clear" w:color="auto" w:fill="FFFF00"/>
          </w:tcPr>
          <w:p w14:paraId="22470857" w14:textId="77777777" w:rsidR="004E4035" w:rsidRPr="00E34AB3" w:rsidRDefault="004E4035" w:rsidP="006B53B8">
            <w:pPr>
              <w:pStyle w:val="Titre2"/>
              <w:spacing w:before="120"/>
              <w:jc w:val="center"/>
              <w:rPr>
                <w:rFonts w:ascii="Arial" w:hAnsi="Arial"/>
                <w:sz w:val="28"/>
                <w:szCs w:val="22"/>
              </w:rPr>
            </w:pPr>
            <w:r w:rsidRPr="00E34AB3">
              <w:rPr>
                <w:rFonts w:ascii="Arial" w:hAnsi="Arial"/>
                <w:sz w:val="28"/>
                <w:szCs w:val="22"/>
              </w:rPr>
              <w:t>Réflexion 2 – Identifier les taux de TVA applicables en France</w:t>
            </w:r>
          </w:p>
        </w:tc>
      </w:tr>
      <w:tr w:rsidR="004E4035" w:rsidRPr="00C22356" w14:paraId="2F35A1C1" w14:textId="77777777" w:rsidTr="006B53B8">
        <w:trPr>
          <w:trHeight w:val="386"/>
        </w:trPr>
        <w:tc>
          <w:tcPr>
            <w:tcW w:w="1274" w:type="dxa"/>
            <w:shd w:val="clear" w:color="auto" w:fill="FFFF00"/>
            <w:vAlign w:val="center"/>
          </w:tcPr>
          <w:p w14:paraId="1C85F5DE" w14:textId="77777777" w:rsidR="004E4035" w:rsidRPr="006C7177" w:rsidRDefault="004E4035" w:rsidP="004E4035">
            <w:pPr>
              <w:spacing w:after="0"/>
            </w:pPr>
            <w:r w:rsidRPr="006C7177">
              <w:t xml:space="preserve">Durée : </w:t>
            </w:r>
            <w:r>
              <w:t>15’</w:t>
            </w:r>
          </w:p>
        </w:tc>
        <w:tc>
          <w:tcPr>
            <w:tcW w:w="7655" w:type="dxa"/>
            <w:shd w:val="clear" w:color="auto" w:fill="FFFF00"/>
          </w:tcPr>
          <w:p w14:paraId="5A35FCB8" w14:textId="77777777" w:rsidR="004E4035" w:rsidRPr="006C7177" w:rsidRDefault="004E4035" w:rsidP="004E4035">
            <w:pPr>
              <w:spacing w:after="0"/>
              <w:jc w:val="center"/>
            </w:pPr>
            <w:r>
              <w:rPr>
                <w:noProof/>
              </w:rPr>
              <w:drawing>
                <wp:inline distT="0" distB="0" distL="0" distR="0" wp14:anchorId="1E475BA1" wp14:editId="3292F087">
                  <wp:extent cx="321945" cy="321945"/>
                  <wp:effectExtent l="0" t="0" r="0" b="1905"/>
                  <wp:docPr id="12" name="Graphique 12" descr="Homme avec un remplissage uni"/>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3850" cy="323850"/>
                          </a:xfrm>
                          <a:prstGeom prst="rect">
                            <a:avLst/>
                          </a:prstGeom>
                        </pic:spPr>
                      </pic:pic>
                    </a:graphicData>
                  </a:graphic>
                </wp:inline>
              </w:drawing>
            </w:r>
            <w:r>
              <w:t>ou</w:t>
            </w:r>
            <w:r>
              <w:rPr>
                <w:noProof/>
              </w:rPr>
              <w:drawing>
                <wp:inline distT="0" distB="0" distL="0" distR="0" wp14:anchorId="4A2237FE" wp14:editId="1DCAFA05">
                  <wp:extent cx="361950" cy="361950"/>
                  <wp:effectExtent l="0" t="0" r="0" b="0"/>
                  <wp:docPr id="14" name="Graphique 14" descr="Deux hommes avec un remplissage uni"/>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59410" cy="359410"/>
                          </a:xfrm>
                          <a:prstGeom prst="rect">
                            <a:avLst/>
                          </a:prstGeom>
                        </pic:spPr>
                      </pic:pic>
                    </a:graphicData>
                  </a:graphic>
                </wp:inline>
              </w:drawing>
            </w:r>
          </w:p>
        </w:tc>
        <w:tc>
          <w:tcPr>
            <w:tcW w:w="1047" w:type="dxa"/>
            <w:shd w:val="clear" w:color="auto" w:fill="FFFF00"/>
            <w:vAlign w:val="center"/>
          </w:tcPr>
          <w:p w14:paraId="642D0C16" w14:textId="77777777" w:rsidR="004E4035" w:rsidRPr="004F210E" w:rsidRDefault="004E4035" w:rsidP="004E4035">
            <w:pPr>
              <w:spacing w:after="0"/>
              <w:jc w:val="center"/>
              <w:rPr>
                <w:bCs/>
              </w:rPr>
            </w:pPr>
            <w:r w:rsidRPr="004F210E">
              <w:rPr>
                <w:bCs/>
              </w:rPr>
              <w:t>Source</w:t>
            </w:r>
          </w:p>
        </w:tc>
      </w:tr>
    </w:tbl>
    <w:p w14:paraId="378B22F5" w14:textId="77777777" w:rsidR="004E4035" w:rsidRPr="00270963" w:rsidRDefault="004E4035" w:rsidP="004E4035">
      <w:pPr>
        <w:spacing w:before="240" w:after="120"/>
        <w:rPr>
          <w:rFonts w:cs="Arial"/>
          <w:b/>
          <w:sz w:val="24"/>
        </w:rPr>
      </w:pPr>
      <w:r>
        <w:rPr>
          <w:rFonts w:cs="Arial"/>
          <w:b/>
          <w:sz w:val="24"/>
        </w:rPr>
        <w:t>Travail à faire</w:t>
      </w:r>
    </w:p>
    <w:p w14:paraId="6FC8F388" w14:textId="77777777" w:rsidR="004E4035" w:rsidRDefault="004E4035" w:rsidP="004E4035">
      <w:pPr>
        <w:tabs>
          <w:tab w:val="left" w:pos="7338"/>
          <w:tab w:val="left" w:pos="8347"/>
        </w:tabs>
        <w:spacing w:after="120"/>
      </w:pPr>
      <w:r>
        <w:t xml:space="preserve">Après avoir lu le </w:t>
      </w:r>
      <w:r w:rsidRPr="00973A1B">
        <w:rPr>
          <w:b/>
          <w:bCs/>
        </w:rPr>
        <w:t>document</w:t>
      </w:r>
      <w:r>
        <w:t>, répondez aux questions suivantes :</w:t>
      </w:r>
    </w:p>
    <w:p w14:paraId="0B33A324" w14:textId="77777777" w:rsidR="004E4035" w:rsidRDefault="004E4035" w:rsidP="004E4035">
      <w:pPr>
        <w:pStyle w:val="Paragraphedeliste"/>
        <w:numPr>
          <w:ilvl w:val="0"/>
          <w:numId w:val="7"/>
        </w:numPr>
        <w:tabs>
          <w:tab w:val="left" w:pos="7338"/>
          <w:tab w:val="left" w:pos="8347"/>
        </w:tabs>
        <w:spacing w:before="120" w:after="120" w:line="240" w:lineRule="auto"/>
      </w:pPr>
      <w:r>
        <w:t>Quels sont les principaux taux de TVA applicables en France ?</w:t>
      </w:r>
    </w:p>
    <w:p w14:paraId="570663EF" w14:textId="77777777" w:rsidR="004E4035" w:rsidRDefault="004E4035" w:rsidP="004E4035">
      <w:pPr>
        <w:pStyle w:val="Paragraphedeliste"/>
        <w:numPr>
          <w:ilvl w:val="0"/>
          <w:numId w:val="7"/>
        </w:numPr>
        <w:tabs>
          <w:tab w:val="left" w:pos="7338"/>
          <w:tab w:val="left" w:pos="8347"/>
        </w:tabs>
        <w:spacing w:before="120" w:after="120" w:line="240" w:lineRule="auto"/>
      </w:pPr>
      <w:r>
        <w:t>Quel le taux normal de la TVA et à quels types d’activités s’applique-t-il ?</w:t>
      </w:r>
    </w:p>
    <w:p w14:paraId="2B34A915" w14:textId="77777777" w:rsidR="004E4035" w:rsidRDefault="004E4035" w:rsidP="004E4035">
      <w:pPr>
        <w:pStyle w:val="Paragraphedeliste"/>
        <w:numPr>
          <w:ilvl w:val="0"/>
          <w:numId w:val="7"/>
        </w:numPr>
        <w:tabs>
          <w:tab w:val="left" w:pos="7338"/>
          <w:tab w:val="left" w:pos="8347"/>
        </w:tabs>
        <w:spacing w:before="120" w:after="120" w:line="240" w:lineRule="auto"/>
      </w:pPr>
      <w:r>
        <w:t>Comment justifier la différence entre le taux réduit à 10 % et le taux réduit à 5,5 % ?</w:t>
      </w:r>
    </w:p>
    <w:p w14:paraId="51D2EB66" w14:textId="77777777" w:rsidR="00F4675F" w:rsidRPr="00F4675F" w:rsidRDefault="00F4675F" w:rsidP="00F4675F">
      <w:pPr>
        <w:tabs>
          <w:tab w:val="left" w:pos="7338"/>
          <w:tab w:val="left" w:pos="8347"/>
        </w:tabs>
        <w:ind w:left="113"/>
        <w:rPr>
          <w:rFonts w:cs="Arial"/>
        </w:rPr>
      </w:pPr>
    </w:p>
    <w:p w14:paraId="239D7B27" w14:textId="1E1D9D5A" w:rsidR="00F4675F" w:rsidRPr="00F4675F" w:rsidRDefault="00F4675F" w:rsidP="00F4675F">
      <w:pPr>
        <w:pStyle w:val="Titre2"/>
        <w:rPr>
          <w:rFonts w:ascii="Arial" w:hAnsi="Arial"/>
          <w:b w:val="0"/>
          <w:color w:val="407CA8"/>
          <w:szCs w:val="36"/>
        </w:rPr>
      </w:pPr>
      <w:r w:rsidRPr="00F4675F">
        <w:rPr>
          <w:rFonts w:ascii="Arial" w:hAnsi="Arial"/>
          <w:bCs/>
          <w:color w:val="FFFFFF" w:themeColor="background1"/>
          <w:highlight w:val="red"/>
        </w:rPr>
        <w:t>Doc. </w:t>
      </w:r>
      <w:r w:rsidRPr="00F4675F">
        <w:rPr>
          <w:rFonts w:ascii="Arial" w:hAnsi="Arial"/>
          <w:bCs/>
          <w:color w:val="FFFFFF" w:themeColor="background1"/>
        </w:rPr>
        <w:t xml:space="preserve">  </w:t>
      </w:r>
      <w:r w:rsidRPr="00F4675F">
        <w:rPr>
          <w:rStyle w:val="lev"/>
          <w:rFonts w:ascii="Arial" w:hAnsi="Arial"/>
          <w:b/>
          <w:color w:val="auto"/>
        </w:rPr>
        <w:t>Les taux de TVA en vigueur en France</w:t>
      </w:r>
    </w:p>
    <w:p w14:paraId="6B8A4B80" w14:textId="77777777" w:rsidR="00F4675F" w:rsidRPr="00F4675F" w:rsidRDefault="00F4675F" w:rsidP="00F4675F">
      <w:pPr>
        <w:numPr>
          <w:ilvl w:val="0"/>
          <w:numId w:val="6"/>
        </w:numPr>
        <w:spacing w:after="0" w:line="240" w:lineRule="auto"/>
        <w:rPr>
          <w:rFonts w:cs="Arial"/>
          <w:color w:val="212529"/>
          <w:szCs w:val="20"/>
        </w:rPr>
      </w:pPr>
      <w:r w:rsidRPr="00F4675F">
        <w:rPr>
          <w:rFonts w:cs="Arial"/>
          <w:color w:val="212529"/>
          <w:szCs w:val="20"/>
        </w:rPr>
        <w:t xml:space="preserve">Le </w:t>
      </w:r>
      <w:r w:rsidRPr="00F4675F">
        <w:rPr>
          <w:rStyle w:val="lev"/>
          <w:rFonts w:cs="Arial"/>
          <w:color w:val="212529"/>
          <w:szCs w:val="20"/>
        </w:rPr>
        <w:t>taux normal</w:t>
      </w:r>
      <w:r w:rsidRPr="00F4675F">
        <w:rPr>
          <w:rFonts w:cs="Arial"/>
          <w:color w:val="212529"/>
          <w:szCs w:val="20"/>
        </w:rPr>
        <w:t xml:space="preserve"> de la TVA est fixé à</w:t>
      </w:r>
      <w:r w:rsidRPr="00F4675F">
        <w:rPr>
          <w:rStyle w:val="lev"/>
          <w:rFonts w:cs="Arial"/>
          <w:color w:val="212529"/>
          <w:szCs w:val="20"/>
        </w:rPr>
        <w:t xml:space="preserve"> 20 %</w:t>
      </w:r>
      <w:r w:rsidRPr="00F4675F">
        <w:rPr>
          <w:rFonts w:cs="Arial"/>
          <w:color w:val="212529"/>
          <w:szCs w:val="20"/>
        </w:rPr>
        <w:t xml:space="preserve"> (</w:t>
      </w:r>
      <w:hyperlink r:id="rId11" w:tgtFrame="_blank" w:history="1">
        <w:r w:rsidRPr="00F4675F">
          <w:rPr>
            <w:rStyle w:val="Lienhypertexte"/>
            <w:rFonts w:cs="Arial"/>
            <w:color w:val="126F7F"/>
          </w:rPr>
          <w:t>art. 278 du code général des impôts</w:t>
        </w:r>
      </w:hyperlink>
      <w:r w:rsidRPr="00F4675F">
        <w:rPr>
          <w:rFonts w:cs="Arial"/>
          <w:color w:val="212529"/>
          <w:szCs w:val="20"/>
        </w:rPr>
        <w:t>), pour la majorité des ventes de biens et des prestations de services : il s'applique à tous les produits ou services pour lesquels aucun autre taux n'est expressément prévu.</w:t>
      </w:r>
    </w:p>
    <w:p w14:paraId="337F6084" w14:textId="77777777" w:rsidR="00F4675F" w:rsidRPr="00F4675F" w:rsidRDefault="00F4675F" w:rsidP="00F4675F">
      <w:pPr>
        <w:numPr>
          <w:ilvl w:val="0"/>
          <w:numId w:val="6"/>
        </w:numPr>
        <w:spacing w:after="0" w:line="240" w:lineRule="auto"/>
        <w:rPr>
          <w:rFonts w:cs="Arial"/>
          <w:color w:val="212529"/>
          <w:szCs w:val="20"/>
        </w:rPr>
      </w:pPr>
      <w:r w:rsidRPr="00F4675F">
        <w:rPr>
          <w:rFonts w:cs="Arial"/>
          <w:color w:val="212529"/>
          <w:szCs w:val="20"/>
        </w:rPr>
        <w:t xml:space="preserve">Le </w:t>
      </w:r>
      <w:r w:rsidRPr="00F4675F">
        <w:rPr>
          <w:rStyle w:val="lev"/>
          <w:rFonts w:cs="Arial"/>
          <w:color w:val="212529"/>
          <w:szCs w:val="20"/>
        </w:rPr>
        <w:t>taux réduit</w:t>
      </w:r>
      <w:r w:rsidRPr="00F4675F">
        <w:rPr>
          <w:rFonts w:cs="Arial"/>
          <w:color w:val="212529"/>
          <w:szCs w:val="20"/>
        </w:rPr>
        <w:t xml:space="preserve"> de </w:t>
      </w:r>
      <w:r w:rsidRPr="00F4675F">
        <w:rPr>
          <w:rStyle w:val="lev"/>
          <w:rFonts w:cs="Arial"/>
          <w:color w:val="212529"/>
          <w:szCs w:val="20"/>
        </w:rPr>
        <w:t>10 %</w:t>
      </w:r>
      <w:r w:rsidRPr="00F4675F">
        <w:rPr>
          <w:rFonts w:cs="Arial"/>
          <w:color w:val="212529"/>
          <w:szCs w:val="20"/>
        </w:rPr>
        <w:t xml:space="preserve"> (</w:t>
      </w:r>
      <w:hyperlink r:id="rId12" w:tgtFrame="_blank" w:history="1">
        <w:r w:rsidRPr="00F4675F">
          <w:rPr>
            <w:rStyle w:val="Lienhypertexte"/>
            <w:rFonts w:cs="Arial"/>
            <w:color w:val="126F7F"/>
          </w:rPr>
          <w:t>art. 278 bis</w:t>
        </w:r>
      </w:hyperlink>
      <w:r w:rsidRPr="00F4675F">
        <w:rPr>
          <w:rFonts w:cs="Arial"/>
          <w:color w:val="212529"/>
          <w:szCs w:val="20"/>
        </w:rPr>
        <w:t xml:space="preserve">, </w:t>
      </w:r>
      <w:hyperlink r:id="rId13" w:tgtFrame="_blank" w:history="1">
        <w:r w:rsidRPr="00F4675F">
          <w:rPr>
            <w:rStyle w:val="Lienhypertexte"/>
            <w:rFonts w:cs="Arial"/>
            <w:color w:val="126F7F"/>
          </w:rPr>
          <w:t>278 quater</w:t>
        </w:r>
      </w:hyperlink>
      <w:r w:rsidRPr="00F4675F">
        <w:rPr>
          <w:rFonts w:cs="Arial"/>
          <w:color w:val="212529"/>
          <w:szCs w:val="20"/>
        </w:rPr>
        <w:t xml:space="preserve">, </w:t>
      </w:r>
      <w:hyperlink r:id="rId14" w:tgtFrame="_blank" w:history="1">
        <w:r w:rsidRPr="00F4675F">
          <w:rPr>
            <w:rStyle w:val="Lienhypertexte"/>
            <w:rFonts w:cs="Arial"/>
            <w:color w:val="126F7F"/>
          </w:rPr>
          <w:t>278 sexies A</w:t>
        </w:r>
      </w:hyperlink>
      <w:r w:rsidRPr="00F4675F">
        <w:rPr>
          <w:rFonts w:cs="Arial"/>
          <w:color w:val="212529"/>
          <w:szCs w:val="20"/>
        </w:rPr>
        <w:t xml:space="preserve">, </w:t>
      </w:r>
      <w:hyperlink r:id="rId15" w:tgtFrame="_blank" w:history="1">
        <w:r w:rsidRPr="00F4675F">
          <w:rPr>
            <w:rStyle w:val="Lienhypertexte"/>
            <w:rFonts w:cs="Arial"/>
            <w:color w:val="126F7F"/>
          </w:rPr>
          <w:t>278 septies</w:t>
        </w:r>
      </w:hyperlink>
      <w:r w:rsidRPr="00F4675F">
        <w:rPr>
          <w:rFonts w:cs="Arial"/>
          <w:color w:val="212529"/>
          <w:szCs w:val="20"/>
        </w:rPr>
        <w:t xml:space="preserve"> et </w:t>
      </w:r>
      <w:hyperlink r:id="rId16" w:tgtFrame="_blank" w:history="1">
        <w:r w:rsidRPr="00F4675F">
          <w:rPr>
            <w:rStyle w:val="Lienhypertexte"/>
            <w:rFonts w:cs="Arial"/>
            <w:color w:val="126F7F"/>
          </w:rPr>
          <w:t>art. 279</w:t>
        </w:r>
      </w:hyperlink>
      <w:r w:rsidRPr="00F4675F">
        <w:rPr>
          <w:rFonts w:cs="Arial"/>
          <w:color w:val="212529"/>
          <w:szCs w:val="20"/>
        </w:rPr>
        <w:t xml:space="preserve"> du CGI) est notamment applicable aux produits agricoles non transformés, au bois de chauffage, aux travaux d'amélioration du logement qui ne bénéficient pas du taux de 5,5%, à certaines prestations de logement et de camping, aux foires et salons, jeux et manèges forains, aux droits d'entrée des musées, zoo, monuments, aux transports de voyageurs, au traitement des déchets, à la restauration.</w:t>
      </w:r>
    </w:p>
    <w:p w14:paraId="38A67AE6" w14:textId="77777777" w:rsidR="00F4675F" w:rsidRPr="00F4675F" w:rsidRDefault="00F4675F" w:rsidP="00F4675F">
      <w:pPr>
        <w:numPr>
          <w:ilvl w:val="0"/>
          <w:numId w:val="6"/>
        </w:numPr>
        <w:spacing w:after="0" w:line="240" w:lineRule="auto"/>
        <w:rPr>
          <w:rFonts w:cs="Arial"/>
          <w:color w:val="212529"/>
          <w:szCs w:val="20"/>
        </w:rPr>
      </w:pPr>
      <w:r w:rsidRPr="00F4675F">
        <w:rPr>
          <w:rFonts w:cs="Arial"/>
          <w:color w:val="212529"/>
          <w:szCs w:val="20"/>
        </w:rPr>
        <w:t xml:space="preserve">Le </w:t>
      </w:r>
      <w:r w:rsidRPr="00F4675F">
        <w:rPr>
          <w:rStyle w:val="lev"/>
          <w:rFonts w:cs="Arial"/>
          <w:color w:val="212529"/>
          <w:szCs w:val="20"/>
        </w:rPr>
        <w:t>taux réduit</w:t>
      </w:r>
      <w:r w:rsidRPr="00F4675F">
        <w:rPr>
          <w:rFonts w:cs="Arial"/>
          <w:color w:val="212529"/>
          <w:szCs w:val="20"/>
        </w:rPr>
        <w:t xml:space="preserve"> de </w:t>
      </w:r>
      <w:r w:rsidRPr="00F4675F">
        <w:rPr>
          <w:rStyle w:val="lev"/>
          <w:rFonts w:cs="Arial"/>
          <w:color w:val="212529"/>
          <w:szCs w:val="20"/>
        </w:rPr>
        <w:t>5,5 %</w:t>
      </w:r>
      <w:r w:rsidRPr="00F4675F">
        <w:rPr>
          <w:rFonts w:cs="Arial"/>
          <w:color w:val="212529"/>
          <w:szCs w:val="20"/>
        </w:rPr>
        <w:t xml:space="preserve"> (</w:t>
      </w:r>
      <w:hyperlink r:id="rId17" w:tgtFrame="_blank" w:history="1">
        <w:r w:rsidRPr="00F4675F">
          <w:rPr>
            <w:rStyle w:val="Lienhypertexte"/>
            <w:rFonts w:cs="Arial"/>
            <w:color w:val="126F7F"/>
          </w:rPr>
          <w:t>art. 278-0 bis et 278-0 bis A</w:t>
        </w:r>
      </w:hyperlink>
      <w:r w:rsidRPr="00F4675F">
        <w:rPr>
          <w:rFonts w:cs="Arial"/>
          <w:color w:val="212529"/>
          <w:szCs w:val="20"/>
        </w:rPr>
        <w:t xml:space="preserve">, </w:t>
      </w:r>
      <w:hyperlink r:id="rId18" w:tgtFrame="_blank" w:history="1">
        <w:r w:rsidRPr="00F4675F">
          <w:rPr>
            <w:rStyle w:val="Lienhypertexte"/>
            <w:rFonts w:cs="Arial"/>
            <w:color w:val="126F7F"/>
          </w:rPr>
          <w:t>art. 278 sexies</w:t>
        </w:r>
      </w:hyperlink>
      <w:r w:rsidRPr="00F4675F">
        <w:rPr>
          <w:rFonts w:cs="Arial"/>
          <w:color w:val="212529"/>
          <w:szCs w:val="20"/>
        </w:rPr>
        <w:t xml:space="preserve"> du CGI) concerne l'essentiel des produits alimentaires, les produits de protection hygiénique féminine, équipements et services pour handicapés, livres sur tout support, abonnements gaz et électricité, fourniture de chaleur issue d’énergies renouvelables, fourniture de repas dans les cantines scolaires, </w:t>
      </w:r>
      <w:proofErr w:type="spellStart"/>
      <w:r w:rsidRPr="00F4675F">
        <w:rPr>
          <w:rFonts w:cs="Arial"/>
          <w:color w:val="212529"/>
          <w:szCs w:val="20"/>
        </w:rPr>
        <w:t>billeterie</w:t>
      </w:r>
      <w:proofErr w:type="spellEnd"/>
      <w:r w:rsidRPr="00F4675F">
        <w:rPr>
          <w:rFonts w:cs="Arial"/>
          <w:color w:val="212529"/>
          <w:szCs w:val="20"/>
        </w:rPr>
        <w:t xml:space="preserve"> de spectacle vivant et de cinéma, certaines importations et livraisons d'œuvres d'art, travaux d’amélioration de la qualité énergétique des logements, logements sociaux ou d'urgence, accession à la propriété.</w:t>
      </w:r>
    </w:p>
    <w:p w14:paraId="65C5A650" w14:textId="77777777" w:rsidR="00F4675F" w:rsidRPr="00F4675F" w:rsidRDefault="00F4675F" w:rsidP="00F4675F">
      <w:pPr>
        <w:numPr>
          <w:ilvl w:val="0"/>
          <w:numId w:val="6"/>
        </w:numPr>
        <w:spacing w:after="0" w:line="240" w:lineRule="auto"/>
        <w:rPr>
          <w:rFonts w:cs="Arial"/>
          <w:color w:val="212529"/>
          <w:szCs w:val="20"/>
        </w:rPr>
      </w:pPr>
      <w:r w:rsidRPr="00F4675F">
        <w:rPr>
          <w:rFonts w:cs="Arial"/>
          <w:color w:val="212529"/>
          <w:szCs w:val="20"/>
        </w:rPr>
        <w:t xml:space="preserve">Le </w:t>
      </w:r>
      <w:r w:rsidRPr="00F4675F">
        <w:rPr>
          <w:rStyle w:val="lev"/>
          <w:rFonts w:cs="Arial"/>
          <w:color w:val="212529"/>
          <w:szCs w:val="20"/>
        </w:rPr>
        <w:t>taux particulier</w:t>
      </w:r>
      <w:r w:rsidRPr="00F4675F">
        <w:rPr>
          <w:rFonts w:cs="Arial"/>
          <w:color w:val="212529"/>
          <w:szCs w:val="20"/>
        </w:rPr>
        <w:t xml:space="preserve"> de </w:t>
      </w:r>
      <w:r w:rsidRPr="00F4675F">
        <w:rPr>
          <w:rStyle w:val="lev"/>
          <w:rFonts w:cs="Arial"/>
          <w:color w:val="212529"/>
          <w:szCs w:val="20"/>
        </w:rPr>
        <w:t>2,1 %</w:t>
      </w:r>
      <w:r w:rsidRPr="00F4675F">
        <w:rPr>
          <w:rFonts w:cs="Arial"/>
          <w:color w:val="212529"/>
          <w:szCs w:val="20"/>
        </w:rPr>
        <w:t xml:space="preserve"> (</w:t>
      </w:r>
      <w:hyperlink r:id="rId19" w:tgtFrame="_blank" w:history="1">
        <w:r w:rsidRPr="00F4675F">
          <w:rPr>
            <w:rStyle w:val="Lienhypertexte"/>
            <w:rFonts w:cs="Arial"/>
            <w:color w:val="126F7F"/>
          </w:rPr>
          <w:t>art. 281 quater et suivants du CGI</w:t>
        </w:r>
      </w:hyperlink>
      <w:r w:rsidRPr="00F4675F">
        <w:rPr>
          <w:rFonts w:cs="Arial"/>
          <w:color w:val="212529"/>
          <w:szCs w:val="20"/>
        </w:rPr>
        <w:t>) est réservé aux médicaments remboursables par la sécurité sociale, aux ventes d’animaux vivants de boucherie et de charcuterie à des non assujettis, à la redevance télévision, à certains spectacles et aux publications de presse inscrites à la Commission paritaire des publications et agences de presse.</w:t>
      </w:r>
    </w:p>
    <w:p w14:paraId="6A8A4651" w14:textId="77777777" w:rsidR="00F4675F" w:rsidRPr="00F4675F" w:rsidRDefault="00F4675F" w:rsidP="00F4675F">
      <w:pPr>
        <w:numPr>
          <w:ilvl w:val="0"/>
          <w:numId w:val="6"/>
        </w:numPr>
        <w:spacing w:after="0" w:line="240" w:lineRule="auto"/>
        <w:rPr>
          <w:rFonts w:cs="Arial"/>
          <w:color w:val="212529"/>
          <w:szCs w:val="20"/>
        </w:rPr>
      </w:pPr>
      <w:r w:rsidRPr="00F4675F">
        <w:rPr>
          <w:rFonts w:cs="Arial"/>
          <w:color w:val="212529"/>
          <w:szCs w:val="20"/>
        </w:rPr>
        <w:t>Les taux particuliers applicables en Corse sont fixés à l'</w:t>
      </w:r>
      <w:hyperlink r:id="rId20" w:tgtFrame="_blank" w:history="1">
        <w:r w:rsidRPr="00F4675F">
          <w:rPr>
            <w:rStyle w:val="Lienhypertexte"/>
            <w:rFonts w:cs="Arial"/>
            <w:color w:val="126F7F"/>
          </w:rPr>
          <w:t>article 297</w:t>
        </w:r>
      </w:hyperlink>
      <w:r w:rsidRPr="00F4675F">
        <w:rPr>
          <w:rFonts w:cs="Arial"/>
          <w:color w:val="212529"/>
          <w:szCs w:val="20"/>
        </w:rPr>
        <w:t xml:space="preserve"> du CGI.</w:t>
      </w:r>
    </w:p>
    <w:p w14:paraId="55B889E9" w14:textId="77777777" w:rsidR="00F4675F" w:rsidRPr="00F4675F" w:rsidRDefault="00F4675F" w:rsidP="00F4675F">
      <w:pPr>
        <w:numPr>
          <w:ilvl w:val="0"/>
          <w:numId w:val="6"/>
        </w:numPr>
        <w:spacing w:after="0" w:line="240" w:lineRule="auto"/>
        <w:rPr>
          <w:rFonts w:cs="Arial"/>
          <w:color w:val="212529"/>
          <w:szCs w:val="20"/>
        </w:rPr>
      </w:pPr>
      <w:r w:rsidRPr="00F4675F">
        <w:rPr>
          <w:rFonts w:cs="Arial"/>
          <w:color w:val="212529"/>
          <w:szCs w:val="20"/>
        </w:rPr>
        <w:t xml:space="preserve">Les taux particuliers applicables aux départements d'outre-mer sont fixés aux </w:t>
      </w:r>
      <w:hyperlink r:id="rId21" w:tgtFrame="_blank" w:history="1">
        <w:r w:rsidRPr="00F4675F">
          <w:rPr>
            <w:rStyle w:val="Lienhypertexte"/>
            <w:rFonts w:cs="Arial"/>
            <w:color w:val="126F7F"/>
          </w:rPr>
          <w:t>articles 294 et suivants</w:t>
        </w:r>
      </w:hyperlink>
      <w:r w:rsidRPr="00F4675F">
        <w:rPr>
          <w:rFonts w:cs="Arial"/>
          <w:color w:val="212529"/>
          <w:szCs w:val="20"/>
        </w:rPr>
        <w:t xml:space="preserve"> du CGI.</w:t>
      </w:r>
    </w:p>
    <w:p w14:paraId="550D268B" w14:textId="77777777" w:rsidR="00F4675F" w:rsidRPr="00F4675F" w:rsidRDefault="00F4675F" w:rsidP="00F4675F">
      <w:pPr>
        <w:tabs>
          <w:tab w:val="left" w:pos="7338"/>
          <w:tab w:val="left" w:pos="8347"/>
        </w:tabs>
        <w:ind w:left="113"/>
        <w:jc w:val="right"/>
        <w:rPr>
          <w:rFonts w:cs="Arial"/>
          <w:i/>
          <w:iCs/>
        </w:rPr>
      </w:pPr>
      <w:r w:rsidRPr="00F4675F">
        <w:rPr>
          <w:rFonts w:cs="Arial"/>
          <w:i/>
          <w:iCs/>
        </w:rPr>
        <w:t>Source : https://www.economie.gouv.fr/cedef/taux-tva-france-et-union-europeenne</w:t>
      </w:r>
    </w:p>
    <w:p w14:paraId="4E6B47BA" w14:textId="27C3BEC5" w:rsidR="004E4035" w:rsidRPr="00270963" w:rsidRDefault="004E4035" w:rsidP="004E4035">
      <w:pPr>
        <w:spacing w:before="240" w:after="120"/>
        <w:rPr>
          <w:rFonts w:cs="Arial"/>
          <w:b/>
          <w:sz w:val="24"/>
        </w:rPr>
      </w:pPr>
      <w:r>
        <w:rPr>
          <w:rFonts w:cs="Arial"/>
          <w:b/>
          <w:sz w:val="24"/>
        </w:rPr>
        <w:t>Réponses</w:t>
      </w:r>
    </w:p>
    <w:p w14:paraId="454827B1" w14:textId="1B7A530D" w:rsidR="004E4035" w:rsidRPr="004E4035" w:rsidRDefault="004E4035" w:rsidP="004E4035">
      <w:pPr>
        <w:pStyle w:val="Paragraphedeliste"/>
        <w:numPr>
          <w:ilvl w:val="0"/>
          <w:numId w:val="9"/>
        </w:numPr>
        <w:tabs>
          <w:tab w:val="left" w:pos="7338"/>
          <w:tab w:val="left" w:pos="8347"/>
        </w:tabs>
        <w:spacing w:before="120" w:after="120" w:line="240" w:lineRule="auto"/>
        <w:rPr>
          <w:b/>
          <w:bCs/>
          <w:sz w:val="22"/>
          <w:szCs w:val="24"/>
        </w:rPr>
      </w:pPr>
      <w:r w:rsidRPr="004E4035">
        <w:rPr>
          <w:b/>
          <w:bCs/>
          <w:sz w:val="22"/>
          <w:szCs w:val="24"/>
        </w:rPr>
        <w:t>Quels sont les principaux taux de TVA applicables en France ?</w:t>
      </w:r>
    </w:p>
    <w:p w14:paraId="3ED0D823" w14:textId="699168FA" w:rsidR="004E4035" w:rsidRDefault="004E4035" w:rsidP="004E4035">
      <w:pPr>
        <w:tabs>
          <w:tab w:val="left" w:pos="7338"/>
          <w:tab w:val="left" w:pos="8347"/>
        </w:tabs>
        <w:spacing w:before="120" w:after="120" w:line="240" w:lineRule="auto"/>
      </w:pPr>
    </w:p>
    <w:p w14:paraId="0A7535BC" w14:textId="4D9B2AE3" w:rsidR="004E4035" w:rsidRDefault="004E4035" w:rsidP="004E4035">
      <w:pPr>
        <w:tabs>
          <w:tab w:val="left" w:pos="7338"/>
          <w:tab w:val="left" w:pos="8347"/>
        </w:tabs>
        <w:spacing w:before="120" w:after="120" w:line="240" w:lineRule="auto"/>
      </w:pPr>
    </w:p>
    <w:p w14:paraId="54C92C24" w14:textId="44AF4D93" w:rsidR="004E4035" w:rsidRDefault="004E4035" w:rsidP="004E4035">
      <w:pPr>
        <w:tabs>
          <w:tab w:val="left" w:pos="7338"/>
          <w:tab w:val="left" w:pos="8347"/>
        </w:tabs>
        <w:spacing w:before="120" w:after="120" w:line="240" w:lineRule="auto"/>
      </w:pPr>
    </w:p>
    <w:p w14:paraId="143FDAD8" w14:textId="77777777" w:rsidR="004E4035" w:rsidRDefault="004E4035" w:rsidP="004E4035">
      <w:pPr>
        <w:tabs>
          <w:tab w:val="left" w:pos="7338"/>
          <w:tab w:val="left" w:pos="8347"/>
        </w:tabs>
        <w:spacing w:before="120" w:after="120" w:line="240" w:lineRule="auto"/>
      </w:pPr>
    </w:p>
    <w:p w14:paraId="7C27963A" w14:textId="70BB4D28" w:rsidR="004E4035" w:rsidRPr="004E4035" w:rsidRDefault="004E4035" w:rsidP="004E4035">
      <w:pPr>
        <w:pStyle w:val="Paragraphedeliste"/>
        <w:numPr>
          <w:ilvl w:val="0"/>
          <w:numId w:val="9"/>
        </w:numPr>
        <w:tabs>
          <w:tab w:val="left" w:pos="7338"/>
          <w:tab w:val="left" w:pos="8347"/>
        </w:tabs>
        <w:spacing w:before="120" w:after="120" w:line="240" w:lineRule="auto"/>
        <w:rPr>
          <w:b/>
          <w:bCs/>
          <w:sz w:val="22"/>
          <w:szCs w:val="24"/>
        </w:rPr>
      </w:pPr>
      <w:r w:rsidRPr="004E4035">
        <w:rPr>
          <w:b/>
          <w:bCs/>
          <w:sz w:val="22"/>
          <w:szCs w:val="24"/>
        </w:rPr>
        <w:t>Quel le taux normal de la TVA et à quels types d’activités s’applique-t-il ?</w:t>
      </w:r>
    </w:p>
    <w:p w14:paraId="5C8BFCAD" w14:textId="5F480FFA" w:rsidR="004E4035" w:rsidRDefault="004E4035" w:rsidP="004E4035">
      <w:pPr>
        <w:tabs>
          <w:tab w:val="left" w:pos="7338"/>
          <w:tab w:val="left" w:pos="8347"/>
        </w:tabs>
        <w:spacing w:before="120" w:after="120" w:line="240" w:lineRule="auto"/>
      </w:pPr>
    </w:p>
    <w:p w14:paraId="6A99C7EE" w14:textId="2897D4B2" w:rsidR="004E4035" w:rsidRDefault="004E4035" w:rsidP="004E4035">
      <w:pPr>
        <w:tabs>
          <w:tab w:val="left" w:pos="7338"/>
          <w:tab w:val="left" w:pos="8347"/>
        </w:tabs>
        <w:spacing w:before="120" w:after="120" w:line="240" w:lineRule="auto"/>
      </w:pPr>
    </w:p>
    <w:p w14:paraId="63C78555" w14:textId="7852F175" w:rsidR="004E4035" w:rsidRDefault="004E4035" w:rsidP="004E4035">
      <w:pPr>
        <w:tabs>
          <w:tab w:val="left" w:pos="7338"/>
          <w:tab w:val="left" w:pos="8347"/>
        </w:tabs>
        <w:spacing w:before="120" w:after="120" w:line="240" w:lineRule="auto"/>
      </w:pPr>
    </w:p>
    <w:p w14:paraId="2105FEB5" w14:textId="77777777" w:rsidR="004E4035" w:rsidRDefault="004E4035" w:rsidP="004E4035">
      <w:pPr>
        <w:tabs>
          <w:tab w:val="left" w:pos="7338"/>
          <w:tab w:val="left" w:pos="8347"/>
        </w:tabs>
        <w:spacing w:before="120" w:after="120" w:line="240" w:lineRule="auto"/>
      </w:pPr>
    </w:p>
    <w:p w14:paraId="15BB229D" w14:textId="77777777" w:rsidR="004E4035" w:rsidRPr="004E4035" w:rsidRDefault="004E4035" w:rsidP="004E4035">
      <w:pPr>
        <w:pStyle w:val="Paragraphedeliste"/>
        <w:numPr>
          <w:ilvl w:val="0"/>
          <w:numId w:val="9"/>
        </w:numPr>
        <w:tabs>
          <w:tab w:val="left" w:pos="7338"/>
          <w:tab w:val="left" w:pos="8347"/>
        </w:tabs>
        <w:spacing w:before="120" w:after="120" w:line="240" w:lineRule="auto"/>
        <w:rPr>
          <w:b/>
          <w:bCs/>
          <w:sz w:val="22"/>
          <w:szCs w:val="24"/>
        </w:rPr>
      </w:pPr>
      <w:r w:rsidRPr="004E4035">
        <w:rPr>
          <w:b/>
          <w:bCs/>
          <w:sz w:val="22"/>
          <w:szCs w:val="24"/>
        </w:rPr>
        <w:t>Comment justifier la différence entre le taux réduit à 10 % et le taux réduit à 5,5 % ?</w:t>
      </w:r>
    </w:p>
    <w:p w14:paraId="50845322" w14:textId="77777777" w:rsidR="00F4675F" w:rsidRPr="00F4675F" w:rsidRDefault="00F4675F" w:rsidP="00F4675F">
      <w:pPr>
        <w:tabs>
          <w:tab w:val="left" w:pos="7338"/>
          <w:tab w:val="left" w:pos="8347"/>
        </w:tabs>
        <w:ind w:left="113"/>
        <w:rPr>
          <w:rFonts w:cs="Arial"/>
        </w:rPr>
      </w:pPr>
    </w:p>
    <w:p w14:paraId="7F7617B0" w14:textId="77777777" w:rsidR="00F4675F" w:rsidRPr="00F4675F" w:rsidRDefault="00F4675F" w:rsidP="00F4675F">
      <w:pPr>
        <w:tabs>
          <w:tab w:val="left" w:pos="7338"/>
          <w:tab w:val="left" w:pos="8347"/>
        </w:tabs>
        <w:ind w:left="113"/>
        <w:rPr>
          <w:rFonts w:cs="Arial"/>
        </w:rPr>
      </w:pPr>
    </w:p>
    <w:p w14:paraId="321F7388" w14:textId="77777777" w:rsidR="00E71715" w:rsidRPr="00F4675F" w:rsidRDefault="00E71715" w:rsidP="00270963">
      <w:pPr>
        <w:spacing w:after="120"/>
        <w:rPr>
          <w:rFonts w:cs="Arial"/>
        </w:rPr>
      </w:pPr>
    </w:p>
    <w:sectPr w:rsidR="00E71715" w:rsidRPr="00F4675F" w:rsidSect="004E7D01">
      <w:pgSz w:w="11906" w:h="16838"/>
      <w:pgMar w:top="851" w:right="567" w:bottom="28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FB3C" w14:textId="77777777" w:rsidR="009F7AE0" w:rsidRDefault="009F7AE0" w:rsidP="00E94D92">
      <w:pPr>
        <w:spacing w:after="0" w:line="240" w:lineRule="auto"/>
      </w:pPr>
      <w:r>
        <w:separator/>
      </w:r>
    </w:p>
  </w:endnote>
  <w:endnote w:type="continuationSeparator" w:id="0">
    <w:p w14:paraId="43AECD38" w14:textId="77777777" w:rsidR="009F7AE0" w:rsidRDefault="009F7AE0" w:rsidP="00E9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736A" w14:textId="77777777" w:rsidR="009F7AE0" w:rsidRDefault="009F7AE0" w:rsidP="00E94D92">
      <w:pPr>
        <w:spacing w:after="0" w:line="240" w:lineRule="auto"/>
      </w:pPr>
      <w:r>
        <w:separator/>
      </w:r>
    </w:p>
  </w:footnote>
  <w:footnote w:type="continuationSeparator" w:id="0">
    <w:p w14:paraId="679E7A9B" w14:textId="77777777" w:rsidR="009F7AE0" w:rsidRDefault="009F7AE0" w:rsidP="00E94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F5C"/>
    <w:multiLevelType w:val="hybridMultilevel"/>
    <w:tmpl w:val="3CB8DFB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7C69A9"/>
    <w:multiLevelType w:val="multilevel"/>
    <w:tmpl w:val="95BA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463E1"/>
    <w:multiLevelType w:val="hybridMultilevel"/>
    <w:tmpl w:val="16E00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0A08FA"/>
    <w:multiLevelType w:val="hybridMultilevel"/>
    <w:tmpl w:val="29F4F530"/>
    <w:lvl w:ilvl="0" w:tplc="E1D0A6B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11914BB"/>
    <w:multiLevelType w:val="hybridMultilevel"/>
    <w:tmpl w:val="0E0EAEC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A32F21"/>
    <w:multiLevelType w:val="hybridMultilevel"/>
    <w:tmpl w:val="632E3B9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4BC03A32"/>
    <w:multiLevelType w:val="hybridMultilevel"/>
    <w:tmpl w:val="58148F08"/>
    <w:lvl w:ilvl="0" w:tplc="76586DC6">
      <w:start w:val="1"/>
      <w:numFmt w:val="bullet"/>
      <w:lvlText w:val=""/>
      <w:lvlJc w:val="left"/>
      <w:pPr>
        <w:ind w:left="720" w:hanging="360"/>
      </w:pPr>
      <w:rPr>
        <w:rFonts w:ascii="Wingdings" w:hAnsi="Wingdings" w:hint="default"/>
      </w:rPr>
    </w:lvl>
    <w:lvl w:ilvl="1" w:tplc="9AE6E3D6">
      <w:start w:val="1"/>
      <w:numFmt w:val="bullet"/>
      <w:lvlText w:val="-"/>
      <w:lvlJc w:val="left"/>
      <w:pPr>
        <w:ind w:left="1440" w:hanging="360"/>
      </w:pPr>
      <w:rPr>
        <w:rFonts w:ascii="Tahoma" w:hAnsi="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447EB0"/>
    <w:multiLevelType w:val="hybridMultilevel"/>
    <w:tmpl w:val="B2F630D4"/>
    <w:lvl w:ilvl="0" w:tplc="744032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7F4E1F"/>
    <w:multiLevelType w:val="hybridMultilevel"/>
    <w:tmpl w:val="5D1C5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9390402">
    <w:abstractNumId w:val="2"/>
  </w:num>
  <w:num w:numId="2" w16cid:durableId="148258074">
    <w:abstractNumId w:val="7"/>
  </w:num>
  <w:num w:numId="3" w16cid:durableId="892232703">
    <w:abstractNumId w:val="4"/>
  </w:num>
  <w:num w:numId="4" w16cid:durableId="1016226407">
    <w:abstractNumId w:val="6"/>
  </w:num>
  <w:num w:numId="5" w16cid:durableId="1196965787">
    <w:abstractNumId w:val="5"/>
  </w:num>
  <w:num w:numId="6" w16cid:durableId="1491170140">
    <w:abstractNumId w:val="1"/>
  </w:num>
  <w:num w:numId="7" w16cid:durableId="538123869">
    <w:abstractNumId w:val="3"/>
  </w:num>
  <w:num w:numId="8" w16cid:durableId="1972711148">
    <w:abstractNumId w:val="8"/>
  </w:num>
  <w:num w:numId="9" w16cid:durableId="145136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E16"/>
    <w:rsid w:val="000035BC"/>
    <w:rsid w:val="00055FF6"/>
    <w:rsid w:val="000605F0"/>
    <w:rsid w:val="000A76F4"/>
    <w:rsid w:val="001426B3"/>
    <w:rsid w:val="00163039"/>
    <w:rsid w:val="00183B20"/>
    <w:rsid w:val="001A7DDF"/>
    <w:rsid w:val="001B134C"/>
    <w:rsid w:val="00270963"/>
    <w:rsid w:val="002723EC"/>
    <w:rsid w:val="00314490"/>
    <w:rsid w:val="003162A1"/>
    <w:rsid w:val="00347CB7"/>
    <w:rsid w:val="00363663"/>
    <w:rsid w:val="003D75B2"/>
    <w:rsid w:val="004E4035"/>
    <w:rsid w:val="004E7D01"/>
    <w:rsid w:val="00535CCD"/>
    <w:rsid w:val="005B3F59"/>
    <w:rsid w:val="00601E16"/>
    <w:rsid w:val="0068796C"/>
    <w:rsid w:val="006F13D2"/>
    <w:rsid w:val="007124BA"/>
    <w:rsid w:val="00716B95"/>
    <w:rsid w:val="007B3AC5"/>
    <w:rsid w:val="007C5089"/>
    <w:rsid w:val="007D19C1"/>
    <w:rsid w:val="008B7E9E"/>
    <w:rsid w:val="008D7356"/>
    <w:rsid w:val="00923E9A"/>
    <w:rsid w:val="0097098C"/>
    <w:rsid w:val="0098072F"/>
    <w:rsid w:val="00994ACB"/>
    <w:rsid w:val="009F7AE0"/>
    <w:rsid w:val="00AE2664"/>
    <w:rsid w:val="00AE4E66"/>
    <w:rsid w:val="00AF6372"/>
    <w:rsid w:val="00B31F6E"/>
    <w:rsid w:val="00B6246E"/>
    <w:rsid w:val="00BD3153"/>
    <w:rsid w:val="00CD4786"/>
    <w:rsid w:val="00D50340"/>
    <w:rsid w:val="00D75664"/>
    <w:rsid w:val="00DD4FC7"/>
    <w:rsid w:val="00DD7E54"/>
    <w:rsid w:val="00E45B2E"/>
    <w:rsid w:val="00E71715"/>
    <w:rsid w:val="00E94D92"/>
    <w:rsid w:val="00E959C3"/>
    <w:rsid w:val="00EE1FDF"/>
    <w:rsid w:val="00F3587A"/>
    <w:rsid w:val="00F4675F"/>
    <w:rsid w:val="00F777F3"/>
    <w:rsid w:val="00F9627F"/>
    <w:rsid w:val="00FB1ADC"/>
    <w:rsid w:val="00FE2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4A7D"/>
  <w15:docId w15:val="{B89575A9-E488-424B-B91B-6CD235D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5F"/>
    <w:rPr>
      <w:rFonts w:ascii="Arial" w:hAnsi="Arial"/>
      <w:sz w:val="20"/>
    </w:rPr>
  </w:style>
  <w:style w:type="paragraph" w:styleId="Titre2">
    <w:name w:val="heading 2"/>
    <w:basedOn w:val="Normal"/>
    <w:link w:val="Titre2Car"/>
    <w:qFormat/>
    <w:rsid w:val="00270963"/>
    <w:pPr>
      <w:spacing w:after="120" w:line="240" w:lineRule="auto"/>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4ACB"/>
    <w:pPr>
      <w:ind w:left="720"/>
      <w:contextualSpacing/>
    </w:pPr>
  </w:style>
  <w:style w:type="paragraph" w:styleId="Textedebulles">
    <w:name w:val="Balloon Text"/>
    <w:basedOn w:val="Normal"/>
    <w:link w:val="TextedebullesCar"/>
    <w:uiPriority w:val="99"/>
    <w:semiHidden/>
    <w:unhideWhenUsed/>
    <w:rsid w:val="00E94D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D92"/>
    <w:rPr>
      <w:rFonts w:ascii="Segoe UI" w:hAnsi="Segoe UI" w:cs="Segoe UI"/>
      <w:sz w:val="18"/>
      <w:szCs w:val="18"/>
    </w:rPr>
  </w:style>
  <w:style w:type="paragraph" w:styleId="En-tte">
    <w:name w:val="header"/>
    <w:basedOn w:val="Normal"/>
    <w:link w:val="En-tteCar"/>
    <w:uiPriority w:val="99"/>
    <w:unhideWhenUsed/>
    <w:rsid w:val="00E94D92"/>
    <w:pPr>
      <w:tabs>
        <w:tab w:val="center" w:pos="4536"/>
        <w:tab w:val="right" w:pos="9072"/>
      </w:tabs>
      <w:spacing w:after="0" w:line="240" w:lineRule="auto"/>
    </w:pPr>
  </w:style>
  <w:style w:type="character" w:customStyle="1" w:styleId="En-tteCar">
    <w:name w:val="En-tête Car"/>
    <w:basedOn w:val="Policepardfaut"/>
    <w:link w:val="En-tte"/>
    <w:uiPriority w:val="99"/>
    <w:rsid w:val="00E94D92"/>
  </w:style>
  <w:style w:type="paragraph" w:styleId="Pieddepage">
    <w:name w:val="footer"/>
    <w:basedOn w:val="Normal"/>
    <w:link w:val="PieddepageCar"/>
    <w:uiPriority w:val="99"/>
    <w:unhideWhenUsed/>
    <w:rsid w:val="00E94D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4D92"/>
  </w:style>
  <w:style w:type="character" w:styleId="Lienhypertexte">
    <w:name w:val="Hyperlink"/>
    <w:basedOn w:val="Policepardfaut"/>
    <w:uiPriority w:val="99"/>
    <w:unhideWhenUsed/>
    <w:rsid w:val="0097098C"/>
    <w:rPr>
      <w:color w:val="0000FF" w:themeColor="hyperlink"/>
      <w:u w:val="single"/>
    </w:rPr>
  </w:style>
  <w:style w:type="character" w:customStyle="1" w:styleId="Titre2Car">
    <w:name w:val="Titre 2 Car"/>
    <w:basedOn w:val="Policepardfaut"/>
    <w:link w:val="Titre2"/>
    <w:rsid w:val="00270963"/>
    <w:rPr>
      <w:rFonts w:ascii="Arial Black" w:eastAsia="Times New Roman" w:hAnsi="Arial Black" w:cs="Arial"/>
      <w:b/>
      <w:color w:val="000000"/>
      <w:sz w:val="24"/>
      <w:szCs w:val="20"/>
      <w:lang w:eastAsia="fr-FR"/>
    </w:rPr>
  </w:style>
  <w:style w:type="character" w:styleId="lev">
    <w:name w:val="Strong"/>
    <w:aliases w:val="a texte"/>
    <w:uiPriority w:val="22"/>
    <w:qFormat/>
    <w:rsid w:val="00F46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18387">
      <w:bodyDiv w:val="1"/>
      <w:marLeft w:val="0"/>
      <w:marRight w:val="0"/>
      <w:marTop w:val="0"/>
      <w:marBottom w:val="0"/>
      <w:divBdr>
        <w:top w:val="none" w:sz="0" w:space="0" w:color="auto"/>
        <w:left w:val="none" w:sz="0" w:space="0" w:color="auto"/>
        <w:bottom w:val="none" w:sz="0" w:space="0" w:color="auto"/>
        <w:right w:val="none" w:sz="0" w:space="0" w:color="auto"/>
      </w:divBdr>
    </w:div>
    <w:div w:id="18727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legifrance.gouv.fr/affichCodeArticle.do;jsessionid=1992169D74B4352D3290592B22D76AB1.tpdila12v_3?idArticle=LEGIARTI000026950047&amp;cidTexte=LEGITEXT000006069577" TargetMode="External"/><Relationship Id="rId18" Type="http://schemas.openxmlformats.org/officeDocument/2006/relationships/hyperlink" Target="https://www.legifrance.gouv.fr/affichCodeArticle.do;jsessionid=05D76B03D109DDE0203827B845EEB959.tpdila19v_1?idArticle=LEGIARTI000033810507&amp;cidTexte=LEGITEXT000006069577" TargetMode="External"/><Relationship Id="rId3" Type="http://schemas.openxmlformats.org/officeDocument/2006/relationships/settings" Target="settings.xml"/><Relationship Id="rId21" Type="http://schemas.openxmlformats.org/officeDocument/2006/relationships/hyperlink" Target="https://www.legifrance.gouv.fr/affichCode.do;jsessionid=9D23CB8BA26699BD4A0E91CC1990AAAD.tplgfr39s_2?idSectionTA=LEGISCTA000006179660&amp;cidTexte=LEGITEXT000006069577" TargetMode="External"/><Relationship Id="rId7" Type="http://schemas.openxmlformats.org/officeDocument/2006/relationships/image" Target="media/image1.png"/><Relationship Id="rId12" Type="http://schemas.openxmlformats.org/officeDocument/2006/relationships/hyperlink" Target="http://www.legifrance.gouv.fr/affichCodeArticle.do;jsessionid=233F38C0A735CAA6C8313B23DDDADCF6.tpdjo14v_1?idArticle=LEGIARTI000026295994&amp;cidTexte=LEGITEXT000006069577" TargetMode="External"/><Relationship Id="rId17" Type="http://schemas.openxmlformats.org/officeDocument/2006/relationships/hyperlink" Target="https://www.legifrance.gouv.fr/affichCode.do;jsessionid=F1C0E67036CEC46A7C83A57171EECC55.tpdila19v_1?idSectionTA=LEGISCTA000006191654&amp;cidTexte=LEGITEXT000006069577" TargetMode="External"/><Relationship Id="rId2" Type="http://schemas.openxmlformats.org/officeDocument/2006/relationships/styles" Target="styles.xml"/><Relationship Id="rId16" Type="http://schemas.openxmlformats.org/officeDocument/2006/relationships/hyperlink" Target="https://www.legifrance.gouv.fr/affichCodeArticle.do;jsessionid=1992169D74B4352D3290592B22D76AB1.tpdila12v_3?idArticle=LEGIARTI000030061519&amp;cidTexte=LEGITEXT000006069577" TargetMode="External"/><Relationship Id="rId20" Type="http://schemas.openxmlformats.org/officeDocument/2006/relationships/hyperlink" Target="https://www.legifrance.gouv.fr/affichCodeArticle.do?idArticle=LEGIARTI000028416992&amp;cidTexte=LEGITEXT000006069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france.gouv.fr/affichCode.do?idSectionTA=LEGISCTA000006191854&amp;cidTexte=LEGITEXT000006069577" TargetMode="External"/><Relationship Id="rId5" Type="http://schemas.openxmlformats.org/officeDocument/2006/relationships/footnotes" Target="footnotes.xml"/><Relationship Id="rId15" Type="http://schemas.openxmlformats.org/officeDocument/2006/relationships/hyperlink" Target="https://www.legifrance.gouv.fr/affichCodeArticle.do;jsessionid=1992169D74B4352D3290592B22D76AB1.tpdila12v_3?idArticle=LEGIARTI000030022042&amp;cidTexte=LEGITEXT000006069577" TargetMode="External"/><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hyperlink" Target="http://www.legifrance.gouv.fr/affichCode.do?idSectionTA=LEGISCTA000006191656&amp;cidTexte=LEGITEXT00000606957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egifrance.gouv.fr/affichCodeArticle.do;jsessionid=1992169D74B4352D3290592B22D76AB1.tpdila12v_3?idArticle=LEGIARTI000030021766&amp;cidTexte=LEGITEXT000006069577"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711</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Claude Terrier</cp:lastModifiedBy>
  <cp:revision>31</cp:revision>
  <cp:lastPrinted>2015-02-03T11:51:00Z</cp:lastPrinted>
  <dcterms:created xsi:type="dcterms:W3CDTF">2014-02-13T08:47:00Z</dcterms:created>
  <dcterms:modified xsi:type="dcterms:W3CDTF">2023-03-22T20:12:00Z</dcterms:modified>
</cp:coreProperties>
</file>