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76"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1274"/>
        <w:gridCol w:w="7655"/>
        <w:gridCol w:w="1047"/>
      </w:tblGrid>
      <w:tr w:rsidR="00064B2D" w:rsidRPr="00C46192" w14:paraId="317980D0" w14:textId="77777777" w:rsidTr="003C53A8">
        <w:trPr>
          <w:trHeight w:val="386"/>
        </w:trPr>
        <w:tc>
          <w:tcPr>
            <w:tcW w:w="9976" w:type="dxa"/>
            <w:gridSpan w:val="3"/>
            <w:shd w:val="clear" w:color="auto" w:fill="FFFF00"/>
          </w:tcPr>
          <w:p w14:paraId="63F10C80" w14:textId="77777777" w:rsidR="00064B2D" w:rsidRPr="00C46192" w:rsidRDefault="00064B2D" w:rsidP="003C53A8">
            <w:pPr>
              <w:pStyle w:val="Titre2"/>
              <w:spacing w:before="120"/>
              <w:jc w:val="center"/>
              <w:rPr>
                <w:rFonts w:ascii="Arial" w:hAnsi="Arial"/>
                <w:sz w:val="28"/>
                <w:szCs w:val="22"/>
              </w:rPr>
            </w:pPr>
            <w:r w:rsidRPr="00C46192">
              <w:rPr>
                <w:rFonts w:ascii="Arial" w:hAnsi="Arial"/>
                <w:sz w:val="28"/>
                <w:szCs w:val="22"/>
              </w:rPr>
              <w:t>Réflexion 1 – Identifier les activités assujettis à la TVA</w:t>
            </w:r>
          </w:p>
        </w:tc>
      </w:tr>
      <w:tr w:rsidR="00064B2D" w:rsidRPr="00064B2D" w14:paraId="10EDEAF2" w14:textId="77777777" w:rsidTr="003C53A8">
        <w:trPr>
          <w:trHeight w:val="386"/>
        </w:trPr>
        <w:tc>
          <w:tcPr>
            <w:tcW w:w="1274" w:type="dxa"/>
            <w:shd w:val="clear" w:color="auto" w:fill="FFFF00"/>
            <w:vAlign w:val="center"/>
          </w:tcPr>
          <w:p w14:paraId="1D4F7E23" w14:textId="77777777" w:rsidR="00064B2D" w:rsidRPr="00064B2D" w:rsidRDefault="00064B2D" w:rsidP="00064B2D">
            <w:pPr>
              <w:spacing w:after="0"/>
              <w:rPr>
                <w:rFonts w:cs="Arial"/>
              </w:rPr>
            </w:pPr>
            <w:r w:rsidRPr="00064B2D">
              <w:rPr>
                <w:rFonts w:cs="Arial"/>
              </w:rPr>
              <w:t>Durée : 15’</w:t>
            </w:r>
          </w:p>
        </w:tc>
        <w:tc>
          <w:tcPr>
            <w:tcW w:w="7655" w:type="dxa"/>
            <w:shd w:val="clear" w:color="auto" w:fill="FFFF00"/>
          </w:tcPr>
          <w:p w14:paraId="0DA6BEA3" w14:textId="4D7B244A" w:rsidR="00064B2D" w:rsidRPr="00064B2D" w:rsidRDefault="00C46192" w:rsidP="00064B2D">
            <w:pPr>
              <w:spacing w:after="0"/>
              <w:jc w:val="center"/>
              <w:rPr>
                <w:rFonts w:cs="Arial"/>
              </w:rPr>
            </w:pPr>
            <w:r>
              <w:rPr>
                <w:noProof/>
              </w:rPr>
              <w:drawing>
                <wp:inline distT="0" distB="0" distL="0" distR="0" wp14:anchorId="082BF943" wp14:editId="1A0632AB">
                  <wp:extent cx="321945" cy="321945"/>
                  <wp:effectExtent l="0" t="0" r="0" b="1905"/>
                  <wp:docPr id="5" name="Graphique 5" descr="Homme avec un remplissage uni"/>
                  <wp:cNvGraphicFramePr/>
                  <a:graphic xmlns:a="http://schemas.openxmlformats.org/drawingml/2006/main">
                    <a:graphicData uri="http://schemas.openxmlformats.org/drawingml/2006/picture">
                      <pic:pic xmlns:pic="http://schemas.openxmlformats.org/drawingml/2006/picture">
                        <pic:nvPicPr>
                          <pic:cNvPr id="1" name="Graphique 1" descr="Homme avec un remplissage uni"/>
                          <pic:cNvPicPr>
                            <a:picLocks noChangeAspect="1"/>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323850" cy="323850"/>
                          </a:xfrm>
                          <a:prstGeom prst="rect">
                            <a:avLst/>
                          </a:prstGeom>
                        </pic:spPr>
                      </pic:pic>
                    </a:graphicData>
                  </a:graphic>
                </wp:inline>
              </w:drawing>
            </w:r>
            <w:r>
              <w:t>ou</w:t>
            </w:r>
            <w:r>
              <w:rPr>
                <w:noProof/>
              </w:rPr>
              <w:drawing>
                <wp:inline distT="0" distB="0" distL="0" distR="0" wp14:anchorId="7AD28DDA" wp14:editId="7A98EC30">
                  <wp:extent cx="361950" cy="361950"/>
                  <wp:effectExtent l="0" t="0" r="0" b="0"/>
                  <wp:docPr id="4" name="Graphique 4" descr="Deux hommes avec un remplissage uni"/>
                  <wp:cNvGraphicFramePr/>
                  <a:graphic xmlns:a="http://schemas.openxmlformats.org/drawingml/2006/main">
                    <a:graphicData uri="http://schemas.openxmlformats.org/drawingml/2006/picture">
                      <pic:pic xmlns:pic="http://schemas.openxmlformats.org/drawingml/2006/picture">
                        <pic:nvPicPr>
                          <pic:cNvPr id="2" name="Graphique 2" descr="Deux hommes avec un remplissage uni"/>
                          <pic:cNvPicPr>
                            <a:picLocks noChangeAspect="1"/>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359410" cy="359410"/>
                          </a:xfrm>
                          <a:prstGeom prst="rect">
                            <a:avLst/>
                          </a:prstGeom>
                        </pic:spPr>
                      </pic:pic>
                    </a:graphicData>
                  </a:graphic>
                </wp:inline>
              </w:drawing>
            </w:r>
          </w:p>
        </w:tc>
        <w:tc>
          <w:tcPr>
            <w:tcW w:w="1047" w:type="dxa"/>
            <w:shd w:val="clear" w:color="auto" w:fill="FFFF00"/>
            <w:vAlign w:val="center"/>
          </w:tcPr>
          <w:p w14:paraId="50EC365A" w14:textId="77777777" w:rsidR="00064B2D" w:rsidRPr="00064B2D" w:rsidRDefault="00064B2D" w:rsidP="00064B2D">
            <w:pPr>
              <w:spacing w:after="0"/>
              <w:jc w:val="center"/>
              <w:rPr>
                <w:rFonts w:cs="Arial"/>
                <w:bCs/>
              </w:rPr>
            </w:pPr>
            <w:r w:rsidRPr="00064B2D">
              <w:rPr>
                <w:rFonts w:cs="Arial"/>
                <w:bCs/>
              </w:rPr>
              <w:t>Source</w:t>
            </w:r>
          </w:p>
        </w:tc>
      </w:tr>
    </w:tbl>
    <w:p w14:paraId="125B0E00" w14:textId="77777777" w:rsidR="00064B2D" w:rsidRPr="00064B2D" w:rsidRDefault="00064B2D" w:rsidP="00C46192">
      <w:pPr>
        <w:spacing w:before="240" w:after="120"/>
        <w:rPr>
          <w:rFonts w:cs="Arial"/>
          <w:b/>
          <w:sz w:val="24"/>
        </w:rPr>
      </w:pPr>
      <w:r w:rsidRPr="00064B2D">
        <w:rPr>
          <w:rFonts w:cs="Arial"/>
          <w:b/>
          <w:sz w:val="24"/>
        </w:rPr>
        <w:t>Travail à faire</w:t>
      </w:r>
    </w:p>
    <w:p w14:paraId="4A34BF6F" w14:textId="0DB42D4F" w:rsidR="00064B2D" w:rsidRPr="00064B2D" w:rsidRDefault="00064B2D" w:rsidP="00C46192">
      <w:pPr>
        <w:tabs>
          <w:tab w:val="left" w:pos="7338"/>
          <w:tab w:val="left" w:pos="8347"/>
        </w:tabs>
        <w:spacing w:after="120"/>
        <w:rPr>
          <w:rFonts w:cs="Arial"/>
        </w:rPr>
      </w:pPr>
      <w:r w:rsidRPr="00064B2D">
        <w:rPr>
          <w:rFonts w:cs="Arial"/>
        </w:rPr>
        <w:t xml:space="preserve">Après avoir lu le </w:t>
      </w:r>
      <w:r w:rsidRPr="00064B2D">
        <w:rPr>
          <w:rFonts w:cs="Arial"/>
          <w:b/>
          <w:bCs/>
        </w:rPr>
        <w:t>document</w:t>
      </w:r>
      <w:r w:rsidRPr="00064B2D">
        <w:rPr>
          <w:rFonts w:cs="Arial"/>
        </w:rPr>
        <w:t>, répondez aux questions suivantes :</w:t>
      </w:r>
    </w:p>
    <w:p w14:paraId="64A0F052" w14:textId="77777777" w:rsidR="00064B2D" w:rsidRPr="00064B2D" w:rsidRDefault="00064B2D" w:rsidP="00C46192">
      <w:pPr>
        <w:pStyle w:val="Paragraphedeliste"/>
        <w:numPr>
          <w:ilvl w:val="0"/>
          <w:numId w:val="8"/>
        </w:numPr>
        <w:tabs>
          <w:tab w:val="left" w:pos="7338"/>
          <w:tab w:val="left" w:pos="8347"/>
        </w:tabs>
        <w:spacing w:before="120" w:after="120" w:line="240" w:lineRule="auto"/>
        <w:rPr>
          <w:rFonts w:cs="Arial"/>
        </w:rPr>
      </w:pPr>
      <w:r w:rsidRPr="00064B2D">
        <w:rPr>
          <w:rFonts w:cs="Arial"/>
        </w:rPr>
        <w:t>Quelles sont les opérations qui sont soumise à TVA ?</w:t>
      </w:r>
    </w:p>
    <w:p w14:paraId="0D306251" w14:textId="77777777" w:rsidR="00064B2D" w:rsidRPr="00064B2D" w:rsidRDefault="00064B2D" w:rsidP="00C46192">
      <w:pPr>
        <w:pStyle w:val="Paragraphedeliste"/>
        <w:numPr>
          <w:ilvl w:val="0"/>
          <w:numId w:val="8"/>
        </w:numPr>
        <w:tabs>
          <w:tab w:val="left" w:pos="7338"/>
          <w:tab w:val="left" w:pos="8347"/>
        </w:tabs>
        <w:spacing w:before="120" w:after="120" w:line="240" w:lineRule="auto"/>
        <w:rPr>
          <w:rFonts w:cs="Arial"/>
        </w:rPr>
      </w:pPr>
      <w:r w:rsidRPr="00064B2D">
        <w:rPr>
          <w:rFonts w:cs="Arial"/>
        </w:rPr>
        <w:t>Qui peut être assujetti à la TVA ?</w:t>
      </w:r>
    </w:p>
    <w:p w14:paraId="14387FD1" w14:textId="77777777" w:rsidR="00064B2D" w:rsidRPr="00064B2D" w:rsidRDefault="00064B2D" w:rsidP="00C46192">
      <w:pPr>
        <w:pStyle w:val="Paragraphedeliste"/>
        <w:numPr>
          <w:ilvl w:val="0"/>
          <w:numId w:val="8"/>
        </w:numPr>
        <w:tabs>
          <w:tab w:val="left" w:pos="7338"/>
          <w:tab w:val="left" w:pos="8347"/>
        </w:tabs>
        <w:spacing w:before="120" w:after="120" w:line="240" w:lineRule="auto"/>
        <w:rPr>
          <w:rFonts w:cs="Arial"/>
        </w:rPr>
      </w:pPr>
      <w:r w:rsidRPr="00064B2D">
        <w:rPr>
          <w:rFonts w:cs="Arial"/>
        </w:rPr>
        <w:t>Quels sont les cas d’exonération de la TVA ?</w:t>
      </w:r>
    </w:p>
    <w:p w14:paraId="568C25DA" w14:textId="77777777" w:rsidR="00064B2D" w:rsidRPr="00064B2D" w:rsidRDefault="00064B2D" w:rsidP="00064B2D">
      <w:pPr>
        <w:tabs>
          <w:tab w:val="left" w:pos="7338"/>
          <w:tab w:val="left" w:pos="8347"/>
        </w:tabs>
        <w:spacing w:before="120" w:after="120"/>
        <w:rPr>
          <w:rFonts w:cs="Arial"/>
        </w:rPr>
      </w:pPr>
    </w:p>
    <w:p w14:paraId="59950D7C" w14:textId="77777777" w:rsidR="00064B2D" w:rsidRPr="00064B2D" w:rsidRDefault="00064B2D" w:rsidP="00064B2D">
      <w:pPr>
        <w:spacing w:before="240" w:after="120"/>
        <w:rPr>
          <w:rFonts w:cs="Arial"/>
          <w:b/>
          <w:sz w:val="24"/>
        </w:rPr>
      </w:pPr>
      <w:r w:rsidRPr="00064B2D">
        <w:rPr>
          <w:rFonts w:cs="Arial"/>
          <w:b/>
          <w:color w:val="FFFFFF" w:themeColor="background1"/>
          <w:sz w:val="24"/>
          <w:highlight w:val="red"/>
        </w:rPr>
        <w:t>Doc. 1 </w:t>
      </w:r>
      <w:r w:rsidRPr="00064B2D">
        <w:rPr>
          <w:rFonts w:cs="Arial"/>
          <w:b/>
          <w:color w:val="FFFFFF" w:themeColor="background1"/>
          <w:sz w:val="24"/>
        </w:rPr>
        <w:t xml:space="preserve">  </w:t>
      </w:r>
      <w:r w:rsidRPr="00064B2D">
        <w:rPr>
          <w:rFonts w:cs="Arial"/>
          <w:b/>
          <w:sz w:val="24"/>
        </w:rPr>
        <w:t>Que signifie « être assujetti à la TVA » ?</w:t>
      </w:r>
    </w:p>
    <w:p w14:paraId="46334076" w14:textId="77777777" w:rsidR="00064B2D" w:rsidRPr="00064B2D" w:rsidRDefault="00064B2D" w:rsidP="00064B2D">
      <w:pPr>
        <w:rPr>
          <w:rFonts w:cs="Arial"/>
          <w:b/>
        </w:rPr>
      </w:pPr>
      <w:r w:rsidRPr="00064B2D">
        <w:rPr>
          <w:rFonts w:cs="Arial"/>
          <w:b/>
        </w:rPr>
        <w:t xml:space="preserve">Source : </w:t>
      </w:r>
      <w:r w:rsidRPr="00064B2D">
        <w:rPr>
          <w:rFonts w:cs="Arial"/>
        </w:rPr>
        <w:t>https://www.assistant-juridique.fr/</w:t>
      </w:r>
    </w:p>
    <w:p w14:paraId="373CD6B8" w14:textId="77777777" w:rsidR="00064B2D" w:rsidRPr="00064B2D" w:rsidRDefault="00064B2D" w:rsidP="00064B2D">
      <w:pPr>
        <w:spacing w:before="240" w:after="120"/>
        <w:jc w:val="both"/>
        <w:rPr>
          <w:rFonts w:cs="Arial"/>
          <w:b/>
          <w:sz w:val="36"/>
          <w:szCs w:val="36"/>
        </w:rPr>
      </w:pPr>
      <w:r w:rsidRPr="00064B2D">
        <w:rPr>
          <w:rFonts w:cs="Arial"/>
          <w:b/>
        </w:rPr>
        <w:t xml:space="preserve">Dès qu'une personne réalise des opérations économiques comme des ventes de biens ou des prestations de services, de façon indépendante et habituelle, elle est assujettie à la TVA. </w:t>
      </w:r>
    </w:p>
    <w:p w14:paraId="3406213E" w14:textId="77777777" w:rsidR="00064B2D" w:rsidRPr="00064B2D" w:rsidRDefault="00064B2D" w:rsidP="00064B2D">
      <w:pPr>
        <w:spacing w:before="240" w:after="120"/>
        <w:rPr>
          <w:rFonts w:cs="Arial"/>
          <w:b/>
          <w:bCs/>
          <w:sz w:val="22"/>
        </w:rPr>
      </w:pPr>
      <w:r w:rsidRPr="00064B2D">
        <w:rPr>
          <w:rFonts w:cs="Arial"/>
          <w:b/>
          <w:bCs/>
          <w:sz w:val="22"/>
        </w:rPr>
        <w:t>Définition de l'assujetti à la TVA</w:t>
      </w:r>
    </w:p>
    <w:p w14:paraId="6A361D8A" w14:textId="77777777" w:rsidR="00064B2D" w:rsidRPr="00064B2D" w:rsidRDefault="00064B2D" w:rsidP="00064B2D">
      <w:pPr>
        <w:spacing w:before="120"/>
        <w:jc w:val="both"/>
        <w:rPr>
          <w:rFonts w:cs="Arial"/>
          <w:color w:val="000000"/>
          <w:szCs w:val="20"/>
        </w:rPr>
      </w:pPr>
      <w:r w:rsidRPr="00064B2D">
        <w:rPr>
          <w:rFonts w:cs="Arial"/>
          <w:color w:val="000000"/>
          <w:szCs w:val="20"/>
        </w:rPr>
        <w:t xml:space="preserve">Un assujetti est une personne qui effectue de manière habituelle des opérations économiques, en étant indépendante et agissant en tant que telle. Il peut s'agir d'une vente, d'une location ou d'une prestation de service. Les secteurs d'activités concernés sont nombreux : activité civile, activité industrielle, activité agricole, activité commerciale... </w:t>
      </w:r>
    </w:p>
    <w:p w14:paraId="3918250E" w14:textId="77777777" w:rsidR="00064B2D" w:rsidRPr="00064B2D" w:rsidRDefault="00064B2D" w:rsidP="00064B2D">
      <w:pPr>
        <w:spacing w:before="120"/>
        <w:jc w:val="both"/>
        <w:rPr>
          <w:rFonts w:cs="Arial"/>
          <w:color w:val="000000"/>
          <w:szCs w:val="20"/>
        </w:rPr>
      </w:pPr>
      <w:r w:rsidRPr="00064B2D">
        <w:rPr>
          <w:rFonts w:cs="Arial"/>
          <w:color w:val="000000"/>
          <w:szCs w:val="20"/>
        </w:rPr>
        <w:t xml:space="preserve">Toutefois, l'exercice d'une activité économique habituelle ne fait pas obstacle à ce que certaines opérations soient réalisées à titre privé. Par exemple, lorsqu'un assujetti vend un immeuble dont une partie est réservée à son utilisation privée, la TVA ne doit porter que sur la partie de l'immeuble correspondant à une utilisation professionnelle. </w:t>
      </w:r>
    </w:p>
    <w:p w14:paraId="6E524F78" w14:textId="77777777" w:rsidR="00064B2D" w:rsidRPr="00064B2D" w:rsidRDefault="00064B2D" w:rsidP="00064B2D">
      <w:pPr>
        <w:spacing w:before="120"/>
        <w:jc w:val="both"/>
        <w:rPr>
          <w:rFonts w:cs="Arial"/>
          <w:color w:val="000000"/>
          <w:szCs w:val="20"/>
        </w:rPr>
      </w:pPr>
      <w:r w:rsidRPr="00064B2D">
        <w:rPr>
          <w:rFonts w:cs="Arial"/>
          <w:color w:val="000000"/>
          <w:szCs w:val="20"/>
        </w:rPr>
        <w:t xml:space="preserve">Être assujetti ne signifie pas forcément que l'on va devoir faire apparaître la TVA sur ses factures et déduire la TVA payée. Il existe en effet diverses </w:t>
      </w:r>
      <w:r w:rsidRPr="00064B2D">
        <w:rPr>
          <w:rFonts w:cs="Arial"/>
          <w:b/>
          <w:bCs/>
          <w:color w:val="000000"/>
          <w:szCs w:val="20"/>
        </w:rPr>
        <w:t>exonérations</w:t>
      </w:r>
      <w:r w:rsidRPr="00064B2D">
        <w:rPr>
          <w:rFonts w:cs="Arial"/>
          <w:color w:val="000000"/>
          <w:szCs w:val="20"/>
        </w:rPr>
        <w:t xml:space="preserve"> et régimes spécifiques de TVA, par exemple le régime de la </w:t>
      </w:r>
      <w:r w:rsidRPr="00064B2D">
        <w:rPr>
          <w:rFonts w:cs="Arial"/>
          <w:b/>
          <w:bCs/>
          <w:color w:val="000000"/>
          <w:szCs w:val="20"/>
        </w:rPr>
        <w:t>franchise en base de TVA</w:t>
      </w:r>
      <w:r w:rsidRPr="00064B2D">
        <w:rPr>
          <w:rFonts w:cs="Arial"/>
          <w:color w:val="000000"/>
          <w:szCs w:val="20"/>
        </w:rPr>
        <w:t xml:space="preserve">. </w:t>
      </w:r>
    </w:p>
    <w:p w14:paraId="66BF9013" w14:textId="77777777" w:rsidR="00064B2D" w:rsidRPr="00064B2D" w:rsidRDefault="00064B2D" w:rsidP="00064B2D">
      <w:pPr>
        <w:spacing w:before="240" w:after="120"/>
        <w:rPr>
          <w:rFonts w:cs="Arial"/>
          <w:b/>
          <w:bCs/>
          <w:sz w:val="22"/>
        </w:rPr>
      </w:pPr>
      <w:r w:rsidRPr="00064B2D">
        <w:rPr>
          <w:rFonts w:cs="Arial"/>
          <w:b/>
          <w:bCs/>
          <w:sz w:val="22"/>
        </w:rPr>
        <w:t>Qui peut être assujetti à la TVA ?</w:t>
      </w:r>
    </w:p>
    <w:p w14:paraId="5E070EE1" w14:textId="77777777" w:rsidR="00064B2D" w:rsidRPr="00064B2D" w:rsidRDefault="00064B2D" w:rsidP="00064B2D">
      <w:pPr>
        <w:rPr>
          <w:rFonts w:cs="Arial"/>
          <w:color w:val="000000"/>
          <w:szCs w:val="20"/>
        </w:rPr>
      </w:pPr>
      <w:r w:rsidRPr="00064B2D">
        <w:rPr>
          <w:rFonts w:cs="Arial"/>
          <w:color w:val="000000"/>
          <w:szCs w:val="20"/>
        </w:rPr>
        <w:t xml:space="preserve">Une personne peut être assujettie à la TVA : </w:t>
      </w:r>
    </w:p>
    <w:p w14:paraId="4FD2AFBE" w14:textId="77777777" w:rsidR="00064B2D" w:rsidRPr="00064B2D" w:rsidRDefault="00064B2D" w:rsidP="00064B2D">
      <w:pPr>
        <w:pStyle w:val="Paragraphedeliste"/>
        <w:numPr>
          <w:ilvl w:val="0"/>
          <w:numId w:val="6"/>
        </w:numPr>
        <w:spacing w:after="0" w:line="240" w:lineRule="auto"/>
        <w:rPr>
          <w:rFonts w:cs="Arial"/>
          <w:color w:val="000000"/>
          <w:szCs w:val="20"/>
        </w:rPr>
      </w:pPr>
      <w:r w:rsidRPr="00064B2D">
        <w:rPr>
          <w:rFonts w:cs="Arial"/>
          <w:color w:val="000000"/>
          <w:szCs w:val="20"/>
        </w:rPr>
        <w:t>qu'elle soit imposée à l'impôt sur le revenu ou à l'impôt sur les sociétés,</w:t>
      </w:r>
    </w:p>
    <w:p w14:paraId="60ACFC57" w14:textId="77777777" w:rsidR="00064B2D" w:rsidRPr="00064B2D" w:rsidRDefault="00064B2D" w:rsidP="00064B2D">
      <w:pPr>
        <w:pStyle w:val="Paragraphedeliste"/>
        <w:numPr>
          <w:ilvl w:val="0"/>
          <w:numId w:val="6"/>
        </w:numPr>
        <w:spacing w:after="0" w:line="240" w:lineRule="auto"/>
        <w:rPr>
          <w:rFonts w:cs="Arial"/>
          <w:color w:val="000000"/>
          <w:szCs w:val="20"/>
        </w:rPr>
      </w:pPr>
      <w:r w:rsidRPr="00064B2D">
        <w:rPr>
          <w:rFonts w:cs="Arial"/>
          <w:color w:val="000000"/>
          <w:szCs w:val="20"/>
        </w:rPr>
        <w:t xml:space="preserve">qu'elle soit une personne physique ou une personne morale (société, </w:t>
      </w:r>
      <w:r w:rsidRPr="00064B2D">
        <w:rPr>
          <w:rFonts w:cs="Arial"/>
          <w:b/>
          <w:bCs/>
          <w:color w:val="000000"/>
          <w:szCs w:val="20"/>
        </w:rPr>
        <w:t>association</w:t>
      </w:r>
      <w:r w:rsidRPr="00064B2D">
        <w:rPr>
          <w:rFonts w:cs="Arial"/>
          <w:color w:val="000000"/>
          <w:szCs w:val="20"/>
        </w:rPr>
        <w:t>...),</w:t>
      </w:r>
    </w:p>
    <w:p w14:paraId="67597A28" w14:textId="77777777" w:rsidR="00064B2D" w:rsidRPr="00064B2D" w:rsidRDefault="00064B2D" w:rsidP="00064B2D">
      <w:pPr>
        <w:pStyle w:val="Paragraphedeliste"/>
        <w:numPr>
          <w:ilvl w:val="0"/>
          <w:numId w:val="6"/>
        </w:numPr>
        <w:spacing w:after="0" w:line="240" w:lineRule="auto"/>
        <w:rPr>
          <w:rFonts w:cs="Arial"/>
          <w:color w:val="000000"/>
          <w:szCs w:val="20"/>
        </w:rPr>
      </w:pPr>
      <w:r w:rsidRPr="00064B2D">
        <w:rPr>
          <w:rFonts w:cs="Arial"/>
          <w:color w:val="000000"/>
          <w:szCs w:val="20"/>
        </w:rPr>
        <w:t>qu'elle paie ou non de l'impôt sur le revenu ou de l'impôt sur les sociétés,</w:t>
      </w:r>
    </w:p>
    <w:p w14:paraId="6EB04797" w14:textId="77777777" w:rsidR="00064B2D" w:rsidRPr="00064B2D" w:rsidRDefault="00064B2D" w:rsidP="00064B2D">
      <w:pPr>
        <w:pStyle w:val="Paragraphedeliste"/>
        <w:numPr>
          <w:ilvl w:val="0"/>
          <w:numId w:val="6"/>
        </w:numPr>
        <w:spacing w:after="0" w:line="240" w:lineRule="auto"/>
        <w:rPr>
          <w:rFonts w:cs="Arial"/>
          <w:color w:val="000000"/>
          <w:szCs w:val="20"/>
        </w:rPr>
      </w:pPr>
      <w:r w:rsidRPr="00064B2D">
        <w:rPr>
          <w:rFonts w:cs="Arial"/>
          <w:color w:val="000000"/>
          <w:szCs w:val="20"/>
        </w:rPr>
        <w:t>même si elle réalise des opérations qui se situent dans le champ d'application de la TVA mais qui font l'objet d'une exonération spécifique.</w:t>
      </w:r>
    </w:p>
    <w:p w14:paraId="7BB75DBE" w14:textId="77777777" w:rsidR="00064B2D" w:rsidRPr="00064B2D" w:rsidRDefault="00064B2D" w:rsidP="00064B2D">
      <w:pPr>
        <w:spacing w:before="240" w:after="120"/>
        <w:rPr>
          <w:rFonts w:cs="Arial"/>
          <w:b/>
          <w:bCs/>
          <w:sz w:val="22"/>
        </w:rPr>
      </w:pPr>
      <w:r w:rsidRPr="00064B2D">
        <w:rPr>
          <w:rFonts w:cs="Arial"/>
          <w:b/>
          <w:bCs/>
          <w:sz w:val="22"/>
        </w:rPr>
        <w:t>Qui n'est pas assujetti à la TVA ?</w:t>
      </w:r>
    </w:p>
    <w:p w14:paraId="449445D3" w14:textId="77777777" w:rsidR="00064B2D" w:rsidRPr="00064B2D" w:rsidRDefault="00064B2D" w:rsidP="00064B2D">
      <w:pPr>
        <w:spacing w:before="120"/>
        <w:rPr>
          <w:rFonts w:cs="Arial"/>
          <w:color w:val="000000"/>
          <w:szCs w:val="20"/>
        </w:rPr>
      </w:pPr>
      <w:r w:rsidRPr="00064B2D">
        <w:rPr>
          <w:rFonts w:cs="Arial"/>
          <w:color w:val="000000"/>
          <w:szCs w:val="20"/>
        </w:rPr>
        <w:t xml:space="preserve">Ne sont pas assujetties à la TVA les personnes qui n'exercent pas une activité sous leur propre responsabilité et ne jouissent pas d'une totale liberté dans l'organisation et l'exécution des travaux qu'elle comporte. </w:t>
      </w:r>
    </w:p>
    <w:p w14:paraId="0747769D" w14:textId="77777777" w:rsidR="00064B2D" w:rsidRPr="00064B2D" w:rsidRDefault="00064B2D" w:rsidP="00064B2D">
      <w:pPr>
        <w:spacing w:before="120"/>
        <w:rPr>
          <w:rFonts w:cs="Arial"/>
          <w:color w:val="000000"/>
          <w:szCs w:val="20"/>
        </w:rPr>
      </w:pPr>
      <w:r w:rsidRPr="00064B2D">
        <w:rPr>
          <w:rFonts w:cs="Arial"/>
          <w:color w:val="000000"/>
          <w:szCs w:val="20"/>
        </w:rPr>
        <w:t xml:space="preserve">Ainsi, ne sont pas considérés comme des assujettis : </w:t>
      </w:r>
    </w:p>
    <w:p w14:paraId="5B9E1909" w14:textId="77777777" w:rsidR="00064B2D" w:rsidRPr="00064B2D" w:rsidRDefault="00064B2D" w:rsidP="00064B2D">
      <w:pPr>
        <w:pStyle w:val="Paragraphedeliste"/>
        <w:numPr>
          <w:ilvl w:val="0"/>
          <w:numId w:val="7"/>
        </w:numPr>
        <w:spacing w:before="120" w:after="0" w:line="240" w:lineRule="auto"/>
        <w:rPr>
          <w:rFonts w:cs="Arial"/>
          <w:color w:val="000000"/>
          <w:szCs w:val="20"/>
        </w:rPr>
      </w:pPr>
      <w:r w:rsidRPr="00064B2D">
        <w:rPr>
          <w:rFonts w:cs="Arial"/>
          <w:color w:val="000000"/>
          <w:szCs w:val="20"/>
        </w:rPr>
        <w:t>les personnes liées par un contrat de travail,</w:t>
      </w:r>
    </w:p>
    <w:p w14:paraId="5B334A5B" w14:textId="77777777" w:rsidR="00064B2D" w:rsidRPr="00064B2D" w:rsidRDefault="00064B2D" w:rsidP="00064B2D">
      <w:pPr>
        <w:pStyle w:val="Paragraphedeliste"/>
        <w:numPr>
          <w:ilvl w:val="0"/>
          <w:numId w:val="7"/>
        </w:numPr>
        <w:spacing w:before="120" w:after="0" w:line="240" w:lineRule="auto"/>
        <w:rPr>
          <w:rFonts w:cs="Arial"/>
          <w:color w:val="000000"/>
          <w:szCs w:val="20"/>
        </w:rPr>
      </w:pPr>
      <w:r w:rsidRPr="00064B2D">
        <w:rPr>
          <w:rFonts w:cs="Arial"/>
          <w:color w:val="000000"/>
          <w:szCs w:val="20"/>
        </w:rPr>
        <w:t>les travailleurs à domicile dont les gains sont considérés comme des salaires,</w:t>
      </w:r>
    </w:p>
    <w:p w14:paraId="59B867F6" w14:textId="77777777" w:rsidR="00064B2D" w:rsidRPr="00064B2D" w:rsidRDefault="00064B2D" w:rsidP="00064B2D">
      <w:pPr>
        <w:pStyle w:val="Paragraphedeliste"/>
        <w:numPr>
          <w:ilvl w:val="0"/>
          <w:numId w:val="7"/>
        </w:numPr>
        <w:spacing w:before="120" w:after="0" w:line="240" w:lineRule="auto"/>
        <w:rPr>
          <w:rFonts w:cs="Arial"/>
          <w:color w:val="000000"/>
          <w:szCs w:val="20"/>
        </w:rPr>
      </w:pPr>
      <w:r w:rsidRPr="00064B2D">
        <w:rPr>
          <w:rFonts w:cs="Arial"/>
          <w:color w:val="000000"/>
          <w:szCs w:val="20"/>
        </w:rPr>
        <w:t>les personnes qui n'exercent pas une activité économique de façon récurrente ou permanente</w:t>
      </w:r>
    </w:p>
    <w:p w14:paraId="12793F95" w14:textId="77777777" w:rsidR="00064B2D" w:rsidRPr="00064B2D" w:rsidRDefault="00064B2D" w:rsidP="00064B2D">
      <w:pPr>
        <w:spacing w:before="120"/>
        <w:rPr>
          <w:rFonts w:cs="Arial"/>
          <w:color w:val="000000"/>
          <w:szCs w:val="20"/>
        </w:rPr>
      </w:pPr>
      <w:r w:rsidRPr="00064B2D">
        <w:rPr>
          <w:rFonts w:cs="Arial"/>
          <w:color w:val="000000"/>
          <w:szCs w:val="20"/>
        </w:rPr>
        <w:t xml:space="preserve">Attention, les personnes morales dirigeantes de société sont toujours supposées agir de manière indépendante dès lors qu'aucun lien de subordination n'existe. En conséquence, les rémunérations des présidents de SAS et des gérants qui sont des personnes morales sont soumises à la TVA. </w:t>
      </w:r>
    </w:p>
    <w:p w14:paraId="5088EA3B" w14:textId="1B13F3CB" w:rsidR="00064B2D" w:rsidRDefault="00064B2D" w:rsidP="00064B2D">
      <w:pPr>
        <w:tabs>
          <w:tab w:val="left" w:pos="7338"/>
          <w:tab w:val="left" w:pos="8347"/>
        </w:tabs>
        <w:ind w:left="113"/>
        <w:rPr>
          <w:rFonts w:cs="Arial"/>
        </w:rPr>
      </w:pPr>
    </w:p>
    <w:p w14:paraId="2BE01991" w14:textId="1F927AD3" w:rsidR="00C46192" w:rsidRPr="00064B2D" w:rsidRDefault="00C46192" w:rsidP="00C46192">
      <w:pPr>
        <w:spacing w:before="240" w:after="120"/>
        <w:rPr>
          <w:rFonts w:cs="Arial"/>
          <w:b/>
          <w:sz w:val="24"/>
        </w:rPr>
      </w:pPr>
      <w:r>
        <w:rPr>
          <w:rFonts w:cs="Arial"/>
          <w:b/>
          <w:sz w:val="24"/>
        </w:rPr>
        <w:lastRenderedPageBreak/>
        <w:t>Réponses</w:t>
      </w:r>
    </w:p>
    <w:p w14:paraId="25337D13" w14:textId="49FB262F" w:rsidR="00C46192" w:rsidRDefault="00C46192" w:rsidP="00C46192">
      <w:pPr>
        <w:pStyle w:val="Paragraphedeliste"/>
        <w:numPr>
          <w:ilvl w:val="0"/>
          <w:numId w:val="9"/>
        </w:numPr>
        <w:tabs>
          <w:tab w:val="left" w:pos="7338"/>
          <w:tab w:val="left" w:pos="8347"/>
        </w:tabs>
        <w:spacing w:before="120" w:after="120" w:line="240" w:lineRule="auto"/>
        <w:rPr>
          <w:rFonts w:cs="Arial"/>
          <w:b/>
          <w:bCs/>
          <w:sz w:val="22"/>
          <w:szCs w:val="24"/>
        </w:rPr>
      </w:pPr>
      <w:r w:rsidRPr="00C46192">
        <w:rPr>
          <w:rFonts w:cs="Arial"/>
          <w:b/>
          <w:bCs/>
          <w:sz w:val="22"/>
          <w:szCs w:val="24"/>
        </w:rPr>
        <w:t>Quelles sont les opérations qui sont soumise à TVA ?</w:t>
      </w:r>
    </w:p>
    <w:p w14:paraId="42F4BD2E" w14:textId="50C37642" w:rsidR="00C46192" w:rsidRDefault="00C46192" w:rsidP="00C46192">
      <w:pPr>
        <w:tabs>
          <w:tab w:val="left" w:pos="7338"/>
          <w:tab w:val="left" w:pos="8347"/>
        </w:tabs>
        <w:spacing w:before="120" w:after="120" w:line="240" w:lineRule="auto"/>
        <w:rPr>
          <w:rFonts w:cs="Arial"/>
          <w:b/>
          <w:bCs/>
          <w:sz w:val="22"/>
          <w:szCs w:val="24"/>
        </w:rPr>
      </w:pPr>
    </w:p>
    <w:p w14:paraId="759C9B10" w14:textId="13F5B3E5" w:rsidR="00C46192" w:rsidRDefault="00C46192" w:rsidP="00C46192">
      <w:pPr>
        <w:tabs>
          <w:tab w:val="left" w:pos="7338"/>
          <w:tab w:val="left" w:pos="8347"/>
        </w:tabs>
        <w:spacing w:before="120" w:after="120" w:line="240" w:lineRule="auto"/>
        <w:rPr>
          <w:rFonts w:cs="Arial"/>
          <w:b/>
          <w:bCs/>
          <w:sz w:val="22"/>
          <w:szCs w:val="24"/>
        </w:rPr>
      </w:pPr>
    </w:p>
    <w:p w14:paraId="54030E10" w14:textId="143F6CA8" w:rsidR="00C46192" w:rsidRDefault="00C46192" w:rsidP="00C46192">
      <w:pPr>
        <w:tabs>
          <w:tab w:val="left" w:pos="7338"/>
          <w:tab w:val="left" w:pos="8347"/>
        </w:tabs>
        <w:spacing w:before="120" w:after="120" w:line="240" w:lineRule="auto"/>
        <w:rPr>
          <w:rFonts w:cs="Arial"/>
          <w:b/>
          <w:bCs/>
          <w:sz w:val="22"/>
          <w:szCs w:val="24"/>
        </w:rPr>
      </w:pPr>
    </w:p>
    <w:p w14:paraId="603831A3" w14:textId="77777777" w:rsidR="00C46192" w:rsidRPr="00C46192" w:rsidRDefault="00C46192" w:rsidP="00C46192">
      <w:pPr>
        <w:tabs>
          <w:tab w:val="left" w:pos="7338"/>
          <w:tab w:val="left" w:pos="8347"/>
        </w:tabs>
        <w:spacing w:before="120" w:after="120" w:line="240" w:lineRule="auto"/>
        <w:rPr>
          <w:rFonts w:cs="Arial"/>
          <w:b/>
          <w:bCs/>
          <w:sz w:val="22"/>
          <w:szCs w:val="24"/>
        </w:rPr>
      </w:pPr>
    </w:p>
    <w:p w14:paraId="43521034" w14:textId="66D5146D" w:rsidR="00C46192" w:rsidRDefault="00C46192" w:rsidP="00C46192">
      <w:pPr>
        <w:pStyle w:val="Paragraphedeliste"/>
        <w:numPr>
          <w:ilvl w:val="0"/>
          <w:numId w:val="9"/>
        </w:numPr>
        <w:tabs>
          <w:tab w:val="left" w:pos="7338"/>
          <w:tab w:val="left" w:pos="8347"/>
        </w:tabs>
        <w:spacing w:before="120" w:after="120" w:line="240" w:lineRule="auto"/>
        <w:rPr>
          <w:rFonts w:cs="Arial"/>
          <w:b/>
          <w:bCs/>
          <w:sz w:val="22"/>
          <w:szCs w:val="24"/>
        </w:rPr>
      </w:pPr>
      <w:r w:rsidRPr="00C46192">
        <w:rPr>
          <w:rFonts w:cs="Arial"/>
          <w:b/>
          <w:bCs/>
          <w:sz w:val="22"/>
          <w:szCs w:val="24"/>
        </w:rPr>
        <w:t>Qui peut être assujetti à la TVA ?</w:t>
      </w:r>
    </w:p>
    <w:p w14:paraId="177D8E1D" w14:textId="46E9852B" w:rsidR="00C46192" w:rsidRDefault="00C46192" w:rsidP="00C46192">
      <w:pPr>
        <w:tabs>
          <w:tab w:val="left" w:pos="7338"/>
          <w:tab w:val="left" w:pos="8347"/>
        </w:tabs>
        <w:spacing w:before="120" w:after="120" w:line="240" w:lineRule="auto"/>
        <w:rPr>
          <w:rFonts w:cs="Arial"/>
          <w:b/>
          <w:bCs/>
          <w:sz w:val="22"/>
          <w:szCs w:val="24"/>
        </w:rPr>
      </w:pPr>
    </w:p>
    <w:p w14:paraId="07A6AE39" w14:textId="20766DE4" w:rsidR="00C46192" w:rsidRDefault="00C46192" w:rsidP="00C46192">
      <w:pPr>
        <w:tabs>
          <w:tab w:val="left" w:pos="7338"/>
          <w:tab w:val="left" w:pos="8347"/>
        </w:tabs>
        <w:spacing w:before="120" w:after="120" w:line="240" w:lineRule="auto"/>
        <w:rPr>
          <w:rFonts w:cs="Arial"/>
          <w:b/>
          <w:bCs/>
          <w:sz w:val="22"/>
          <w:szCs w:val="24"/>
        </w:rPr>
      </w:pPr>
    </w:p>
    <w:p w14:paraId="7A628B9B" w14:textId="3192B9F6" w:rsidR="00C46192" w:rsidRDefault="00C46192" w:rsidP="00C46192">
      <w:pPr>
        <w:tabs>
          <w:tab w:val="left" w:pos="7338"/>
          <w:tab w:val="left" w:pos="8347"/>
        </w:tabs>
        <w:spacing w:before="120" w:after="120" w:line="240" w:lineRule="auto"/>
        <w:rPr>
          <w:rFonts w:cs="Arial"/>
          <w:b/>
          <w:bCs/>
          <w:sz w:val="22"/>
          <w:szCs w:val="24"/>
        </w:rPr>
      </w:pPr>
    </w:p>
    <w:p w14:paraId="64F4E78F" w14:textId="77777777" w:rsidR="00C46192" w:rsidRPr="00C46192" w:rsidRDefault="00C46192" w:rsidP="00C46192">
      <w:pPr>
        <w:tabs>
          <w:tab w:val="left" w:pos="7338"/>
          <w:tab w:val="left" w:pos="8347"/>
        </w:tabs>
        <w:spacing w:before="120" w:after="120" w:line="240" w:lineRule="auto"/>
        <w:rPr>
          <w:rFonts w:cs="Arial"/>
          <w:b/>
          <w:bCs/>
          <w:sz w:val="22"/>
          <w:szCs w:val="24"/>
        </w:rPr>
      </w:pPr>
    </w:p>
    <w:p w14:paraId="3E446D9D" w14:textId="77777777" w:rsidR="00C46192" w:rsidRPr="00C46192" w:rsidRDefault="00C46192" w:rsidP="00C46192">
      <w:pPr>
        <w:pStyle w:val="Paragraphedeliste"/>
        <w:numPr>
          <w:ilvl w:val="0"/>
          <w:numId w:val="9"/>
        </w:numPr>
        <w:tabs>
          <w:tab w:val="left" w:pos="7338"/>
          <w:tab w:val="left" w:pos="8347"/>
        </w:tabs>
        <w:spacing w:before="120" w:after="120" w:line="240" w:lineRule="auto"/>
        <w:rPr>
          <w:rFonts w:cs="Arial"/>
          <w:b/>
          <w:bCs/>
          <w:sz w:val="22"/>
          <w:szCs w:val="24"/>
        </w:rPr>
      </w:pPr>
      <w:r w:rsidRPr="00C46192">
        <w:rPr>
          <w:rFonts w:cs="Arial"/>
          <w:b/>
          <w:bCs/>
          <w:sz w:val="22"/>
          <w:szCs w:val="24"/>
        </w:rPr>
        <w:t>Quels sont les cas d’exonération de la TVA ?</w:t>
      </w:r>
    </w:p>
    <w:p w14:paraId="677C6FF6" w14:textId="77777777" w:rsidR="00C46192" w:rsidRPr="00064B2D" w:rsidRDefault="00C46192" w:rsidP="00064B2D">
      <w:pPr>
        <w:tabs>
          <w:tab w:val="left" w:pos="7338"/>
          <w:tab w:val="left" w:pos="8347"/>
        </w:tabs>
        <w:ind w:left="113"/>
        <w:rPr>
          <w:rFonts w:cs="Arial"/>
        </w:rPr>
      </w:pPr>
    </w:p>
    <w:p w14:paraId="321F7388" w14:textId="77777777" w:rsidR="00E71715" w:rsidRPr="00064B2D" w:rsidRDefault="00E71715" w:rsidP="00064B2D">
      <w:pPr>
        <w:rPr>
          <w:rFonts w:cs="Arial"/>
        </w:rPr>
      </w:pPr>
    </w:p>
    <w:sectPr w:rsidR="00E71715" w:rsidRPr="00064B2D" w:rsidSect="004E7D01">
      <w:pgSz w:w="11906" w:h="16838"/>
      <w:pgMar w:top="851" w:right="567" w:bottom="284" w:left="1134"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44263" w14:textId="77777777" w:rsidR="00533EFE" w:rsidRDefault="00533EFE" w:rsidP="00E94D92">
      <w:pPr>
        <w:spacing w:after="0" w:line="240" w:lineRule="auto"/>
      </w:pPr>
      <w:r>
        <w:separator/>
      </w:r>
    </w:p>
  </w:endnote>
  <w:endnote w:type="continuationSeparator" w:id="0">
    <w:p w14:paraId="2640F341" w14:textId="77777777" w:rsidR="00533EFE" w:rsidRDefault="00533EFE" w:rsidP="00E94D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10864" w14:textId="77777777" w:rsidR="00533EFE" w:rsidRDefault="00533EFE" w:rsidP="00E94D92">
      <w:pPr>
        <w:spacing w:after="0" w:line="240" w:lineRule="auto"/>
      </w:pPr>
      <w:r>
        <w:separator/>
      </w:r>
    </w:p>
  </w:footnote>
  <w:footnote w:type="continuationSeparator" w:id="0">
    <w:p w14:paraId="30318FD1" w14:textId="77777777" w:rsidR="00533EFE" w:rsidRDefault="00533EFE" w:rsidP="00E94D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3614A"/>
    <w:multiLevelType w:val="hybridMultilevel"/>
    <w:tmpl w:val="471C7796"/>
    <w:lvl w:ilvl="0" w:tplc="C56C538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6F7C84"/>
    <w:multiLevelType w:val="hybridMultilevel"/>
    <w:tmpl w:val="613EF60C"/>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111463E1"/>
    <w:multiLevelType w:val="hybridMultilevel"/>
    <w:tmpl w:val="16E00CF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15A7407"/>
    <w:multiLevelType w:val="hybridMultilevel"/>
    <w:tmpl w:val="02D29FD8"/>
    <w:lvl w:ilvl="0" w:tplc="C56C538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5110A30"/>
    <w:multiLevelType w:val="hybridMultilevel"/>
    <w:tmpl w:val="119E36E2"/>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15:restartNumberingAfterBreak="0">
    <w:nsid w:val="411914BB"/>
    <w:multiLevelType w:val="hybridMultilevel"/>
    <w:tmpl w:val="0E0EAECC"/>
    <w:lvl w:ilvl="0" w:tplc="040C000F">
      <w:start w:val="1"/>
      <w:numFmt w:val="decimal"/>
      <w:lvlText w:val="%1."/>
      <w:lvlJc w:val="left"/>
      <w:pPr>
        <w:ind w:left="502"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9A32F21"/>
    <w:multiLevelType w:val="hybridMultilevel"/>
    <w:tmpl w:val="632E3B9C"/>
    <w:lvl w:ilvl="0" w:tplc="100C000F">
      <w:start w:val="1"/>
      <w:numFmt w:val="decimal"/>
      <w:lvlText w:val="%1."/>
      <w:lvlJc w:val="left"/>
      <w:pPr>
        <w:ind w:left="360" w:hanging="360"/>
      </w:p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7" w15:restartNumberingAfterBreak="0">
    <w:nsid w:val="4BC03A32"/>
    <w:multiLevelType w:val="hybridMultilevel"/>
    <w:tmpl w:val="58148F08"/>
    <w:lvl w:ilvl="0" w:tplc="76586DC6">
      <w:start w:val="1"/>
      <w:numFmt w:val="bullet"/>
      <w:lvlText w:val=""/>
      <w:lvlJc w:val="left"/>
      <w:pPr>
        <w:ind w:left="720" w:hanging="360"/>
      </w:pPr>
      <w:rPr>
        <w:rFonts w:ascii="Wingdings" w:hAnsi="Wingdings" w:hint="default"/>
      </w:rPr>
    </w:lvl>
    <w:lvl w:ilvl="1" w:tplc="9AE6E3D6">
      <w:start w:val="1"/>
      <w:numFmt w:val="bullet"/>
      <w:lvlText w:val="-"/>
      <w:lvlJc w:val="left"/>
      <w:pPr>
        <w:ind w:left="1440" w:hanging="360"/>
      </w:pPr>
      <w:rPr>
        <w:rFonts w:ascii="Tahoma" w:hAnsi="Tahoma"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0447EB0"/>
    <w:multiLevelType w:val="hybridMultilevel"/>
    <w:tmpl w:val="B2F630D4"/>
    <w:lvl w:ilvl="0" w:tplc="7440320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029572023">
    <w:abstractNumId w:val="2"/>
  </w:num>
  <w:num w:numId="2" w16cid:durableId="306709441">
    <w:abstractNumId w:val="8"/>
  </w:num>
  <w:num w:numId="3" w16cid:durableId="491603590">
    <w:abstractNumId w:val="5"/>
  </w:num>
  <w:num w:numId="4" w16cid:durableId="815687047">
    <w:abstractNumId w:val="7"/>
  </w:num>
  <w:num w:numId="5" w16cid:durableId="143739459">
    <w:abstractNumId w:val="6"/>
  </w:num>
  <w:num w:numId="6" w16cid:durableId="1120488752">
    <w:abstractNumId w:val="0"/>
  </w:num>
  <w:num w:numId="7" w16cid:durableId="460660030">
    <w:abstractNumId w:val="3"/>
  </w:num>
  <w:num w:numId="8" w16cid:durableId="10181704">
    <w:abstractNumId w:val="4"/>
  </w:num>
  <w:num w:numId="9" w16cid:durableId="230178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01E16"/>
    <w:rsid w:val="000035BC"/>
    <w:rsid w:val="00055FF6"/>
    <w:rsid w:val="000605F0"/>
    <w:rsid w:val="00064B2D"/>
    <w:rsid w:val="000A76F4"/>
    <w:rsid w:val="001426B3"/>
    <w:rsid w:val="00163039"/>
    <w:rsid w:val="00183B20"/>
    <w:rsid w:val="001A7DDF"/>
    <w:rsid w:val="001B134C"/>
    <w:rsid w:val="00270963"/>
    <w:rsid w:val="002723EC"/>
    <w:rsid w:val="00314490"/>
    <w:rsid w:val="003162A1"/>
    <w:rsid w:val="00347CB7"/>
    <w:rsid w:val="00363663"/>
    <w:rsid w:val="003D75B2"/>
    <w:rsid w:val="004E7D01"/>
    <w:rsid w:val="00533EFE"/>
    <w:rsid w:val="00535CCD"/>
    <w:rsid w:val="005B3F59"/>
    <w:rsid w:val="00601E16"/>
    <w:rsid w:val="0068796C"/>
    <w:rsid w:val="006F13D2"/>
    <w:rsid w:val="007124BA"/>
    <w:rsid w:val="00716B95"/>
    <w:rsid w:val="007B3AC5"/>
    <w:rsid w:val="007C5089"/>
    <w:rsid w:val="007D19C1"/>
    <w:rsid w:val="008B7E9E"/>
    <w:rsid w:val="008D7356"/>
    <w:rsid w:val="00923E9A"/>
    <w:rsid w:val="0097098C"/>
    <w:rsid w:val="0098072F"/>
    <w:rsid w:val="00994ACB"/>
    <w:rsid w:val="00AE4E66"/>
    <w:rsid w:val="00AF6372"/>
    <w:rsid w:val="00B31F6E"/>
    <w:rsid w:val="00B6246E"/>
    <w:rsid w:val="00BD3153"/>
    <w:rsid w:val="00C46192"/>
    <w:rsid w:val="00C92B7F"/>
    <w:rsid w:val="00CD4786"/>
    <w:rsid w:val="00D50340"/>
    <w:rsid w:val="00D75664"/>
    <w:rsid w:val="00DD4FC7"/>
    <w:rsid w:val="00DD7E54"/>
    <w:rsid w:val="00E45B2E"/>
    <w:rsid w:val="00E71715"/>
    <w:rsid w:val="00E94D92"/>
    <w:rsid w:val="00E959C3"/>
    <w:rsid w:val="00EE1FDF"/>
    <w:rsid w:val="00F3587A"/>
    <w:rsid w:val="00F777F3"/>
    <w:rsid w:val="00F9627F"/>
    <w:rsid w:val="00FB1ADC"/>
    <w:rsid w:val="00FE2F5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44A7D"/>
  <w15:docId w15:val="{B89575A9-E488-424B-B91B-6CD235D12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B2D"/>
    <w:rPr>
      <w:rFonts w:ascii="Arial" w:hAnsi="Arial"/>
      <w:sz w:val="20"/>
    </w:rPr>
  </w:style>
  <w:style w:type="paragraph" w:styleId="Titre2">
    <w:name w:val="heading 2"/>
    <w:basedOn w:val="Normal"/>
    <w:link w:val="Titre2Car"/>
    <w:qFormat/>
    <w:rsid w:val="00270963"/>
    <w:pPr>
      <w:spacing w:after="120" w:line="240" w:lineRule="auto"/>
      <w:outlineLvl w:val="1"/>
    </w:pPr>
    <w:rPr>
      <w:rFonts w:ascii="Arial Black" w:eastAsia="Times New Roman" w:hAnsi="Arial Black" w:cs="Arial"/>
      <w:b/>
      <w:color w:val="000000"/>
      <w:sz w:val="24"/>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601E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994ACB"/>
    <w:pPr>
      <w:ind w:left="720"/>
      <w:contextualSpacing/>
    </w:pPr>
  </w:style>
  <w:style w:type="paragraph" w:styleId="Textedebulles">
    <w:name w:val="Balloon Text"/>
    <w:basedOn w:val="Normal"/>
    <w:link w:val="TextedebullesCar"/>
    <w:uiPriority w:val="99"/>
    <w:semiHidden/>
    <w:unhideWhenUsed/>
    <w:rsid w:val="00E94D9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94D92"/>
    <w:rPr>
      <w:rFonts w:ascii="Segoe UI" w:hAnsi="Segoe UI" w:cs="Segoe UI"/>
      <w:sz w:val="18"/>
      <w:szCs w:val="18"/>
    </w:rPr>
  </w:style>
  <w:style w:type="paragraph" w:styleId="En-tte">
    <w:name w:val="header"/>
    <w:basedOn w:val="Normal"/>
    <w:link w:val="En-tteCar"/>
    <w:uiPriority w:val="99"/>
    <w:unhideWhenUsed/>
    <w:rsid w:val="00E94D92"/>
    <w:pPr>
      <w:tabs>
        <w:tab w:val="center" w:pos="4536"/>
        <w:tab w:val="right" w:pos="9072"/>
      </w:tabs>
      <w:spacing w:after="0" w:line="240" w:lineRule="auto"/>
    </w:pPr>
  </w:style>
  <w:style w:type="character" w:customStyle="1" w:styleId="En-tteCar">
    <w:name w:val="En-tête Car"/>
    <w:basedOn w:val="Policepardfaut"/>
    <w:link w:val="En-tte"/>
    <w:uiPriority w:val="99"/>
    <w:rsid w:val="00E94D92"/>
  </w:style>
  <w:style w:type="paragraph" w:styleId="Pieddepage">
    <w:name w:val="footer"/>
    <w:basedOn w:val="Normal"/>
    <w:link w:val="PieddepageCar"/>
    <w:uiPriority w:val="99"/>
    <w:unhideWhenUsed/>
    <w:rsid w:val="00E94D9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94D92"/>
  </w:style>
  <w:style w:type="character" w:styleId="Lienhypertexte">
    <w:name w:val="Hyperlink"/>
    <w:basedOn w:val="Policepardfaut"/>
    <w:uiPriority w:val="99"/>
    <w:unhideWhenUsed/>
    <w:rsid w:val="0097098C"/>
    <w:rPr>
      <w:color w:val="0000FF" w:themeColor="hyperlink"/>
      <w:u w:val="single"/>
    </w:rPr>
  </w:style>
  <w:style w:type="character" w:customStyle="1" w:styleId="Titre2Car">
    <w:name w:val="Titre 2 Car"/>
    <w:basedOn w:val="Policepardfaut"/>
    <w:link w:val="Titre2"/>
    <w:rsid w:val="00270963"/>
    <w:rPr>
      <w:rFonts w:ascii="Arial Black" w:eastAsia="Times New Roman" w:hAnsi="Arial Black" w:cs="Arial"/>
      <w:b/>
      <w:color w:val="000000"/>
      <w:sz w:val="24"/>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6618387">
      <w:bodyDiv w:val="1"/>
      <w:marLeft w:val="0"/>
      <w:marRight w:val="0"/>
      <w:marTop w:val="0"/>
      <w:marBottom w:val="0"/>
      <w:divBdr>
        <w:top w:val="none" w:sz="0" w:space="0" w:color="auto"/>
        <w:left w:val="none" w:sz="0" w:space="0" w:color="auto"/>
        <w:bottom w:val="none" w:sz="0" w:space="0" w:color="auto"/>
        <w:right w:val="none" w:sz="0" w:space="0" w:color="auto"/>
      </w:divBdr>
    </w:div>
    <w:div w:id="1872767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sv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2</Pages>
  <Words>460</Words>
  <Characters>2534</Characters>
  <Application>Microsoft Office Word</Application>
  <DocSecurity>0</DocSecurity>
  <Lines>21</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Claude Terrier</cp:lastModifiedBy>
  <cp:revision>31</cp:revision>
  <cp:lastPrinted>2015-02-03T11:51:00Z</cp:lastPrinted>
  <dcterms:created xsi:type="dcterms:W3CDTF">2014-02-13T08:47:00Z</dcterms:created>
  <dcterms:modified xsi:type="dcterms:W3CDTF">2023-03-22T20:07:00Z</dcterms:modified>
</cp:coreProperties>
</file>