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92"/>
        <w:gridCol w:w="6740"/>
        <w:gridCol w:w="730"/>
        <w:gridCol w:w="914"/>
      </w:tblGrid>
      <w:tr w:rsidR="00BE4F81" w:rsidRPr="00C22356" w14:paraId="5B6FED92" w14:textId="77777777" w:rsidTr="00F605DA">
        <w:trPr>
          <w:trHeight w:val="386"/>
        </w:trPr>
        <w:tc>
          <w:tcPr>
            <w:tcW w:w="9776" w:type="dxa"/>
            <w:gridSpan w:val="4"/>
            <w:shd w:val="clear" w:color="auto" w:fill="FFFF00"/>
          </w:tcPr>
          <w:p w14:paraId="3419D6AD" w14:textId="77777777" w:rsidR="00BE4F81" w:rsidRPr="00DA32CE" w:rsidRDefault="00BE4F81" w:rsidP="00F605DA">
            <w:pPr>
              <w:pStyle w:val="Titre2"/>
              <w:spacing w:after="0"/>
              <w:jc w:val="center"/>
              <w:rPr>
                <w:szCs w:val="22"/>
              </w:rPr>
            </w:pPr>
            <w:bookmarkStart w:id="0" w:name="_Hlk525855621"/>
            <w:r w:rsidRPr="00DA32CE">
              <w:rPr>
                <w:szCs w:val="22"/>
              </w:rPr>
              <w:t>Réflexion</w:t>
            </w:r>
            <w:r>
              <w:rPr>
                <w:szCs w:val="22"/>
              </w:rPr>
              <w:t xml:space="preserve"> 5</w:t>
            </w:r>
          </w:p>
          <w:p w14:paraId="5E4D6D88" w14:textId="79A96FEB" w:rsidR="00BE4F81" w:rsidRPr="00DA32CE" w:rsidRDefault="00BE4F81" w:rsidP="00F605DA">
            <w:pPr>
              <w:pStyle w:val="Titre2"/>
              <w:spacing w:after="0"/>
              <w:jc w:val="center"/>
              <w:rPr>
                <w:szCs w:val="22"/>
              </w:rPr>
            </w:pPr>
            <w:r w:rsidRPr="00DA32CE">
              <w:rPr>
                <w:szCs w:val="22"/>
              </w:rPr>
              <w:t xml:space="preserve">Identifier les </w:t>
            </w:r>
            <w:r>
              <w:rPr>
                <w:szCs w:val="22"/>
              </w:rPr>
              <w:t>limites est contraintes de l’appel d’offre privé</w:t>
            </w:r>
          </w:p>
        </w:tc>
      </w:tr>
      <w:tr w:rsidR="00BE4F81" w:rsidRPr="00DA32CE" w14:paraId="6ADE7798" w14:textId="77777777" w:rsidTr="00F605DA">
        <w:trPr>
          <w:trHeight w:val="267"/>
        </w:trPr>
        <w:tc>
          <w:tcPr>
            <w:tcW w:w="1397" w:type="dxa"/>
            <w:shd w:val="clear" w:color="auto" w:fill="FFFF00"/>
            <w:vAlign w:val="center"/>
          </w:tcPr>
          <w:p w14:paraId="6FF9DAD8" w14:textId="482C95EE" w:rsidR="00BE4F81" w:rsidRPr="00DA32CE" w:rsidRDefault="00BE4F81" w:rsidP="00F605DA">
            <w:pPr>
              <w:rPr>
                <w:bCs/>
              </w:rPr>
            </w:pPr>
            <w:r w:rsidRPr="00DA32CE">
              <w:rPr>
                <w:bCs/>
              </w:rPr>
              <w:t xml:space="preserve">Durée : </w:t>
            </w:r>
            <w:r w:rsidR="00442B73">
              <w:rPr>
                <w:bCs/>
              </w:rPr>
              <w:t>3</w:t>
            </w:r>
            <w:r>
              <w:rPr>
                <w:bCs/>
              </w:rPr>
              <w:t>0</w:t>
            </w:r>
            <w:r w:rsidRPr="00DA32CE">
              <w:rPr>
                <w:bCs/>
              </w:rPr>
              <w:t>’</w:t>
            </w:r>
          </w:p>
        </w:tc>
        <w:tc>
          <w:tcPr>
            <w:tcW w:w="6796" w:type="dxa"/>
            <w:shd w:val="clear" w:color="auto" w:fill="FFFF00"/>
            <w:vAlign w:val="center"/>
          </w:tcPr>
          <w:p w14:paraId="5F4D8462" w14:textId="77777777" w:rsidR="00BE4F81" w:rsidRPr="00DA32CE" w:rsidRDefault="00BE4F81" w:rsidP="00F605DA">
            <w:pPr>
              <w:jc w:val="center"/>
              <w:rPr>
                <w:bCs/>
              </w:rPr>
            </w:pPr>
            <w:r w:rsidRPr="00DA32CE">
              <w:rPr>
                <w:bCs/>
                <w:noProof/>
                <w:szCs w:val="20"/>
              </w:rPr>
              <w:drawing>
                <wp:inline distT="0" distB="0" distL="0" distR="0" wp14:anchorId="63CE4CC6" wp14:editId="7C643F10">
                  <wp:extent cx="252000" cy="252000"/>
                  <wp:effectExtent l="0" t="0" r="0" b="0"/>
                  <wp:docPr id="265052491" name="Graphique 265052491"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252000" cy="252000"/>
                          </a:xfrm>
                          <a:prstGeom prst="rect">
                            <a:avLst/>
                          </a:prstGeom>
                        </pic:spPr>
                      </pic:pic>
                    </a:graphicData>
                  </a:graphic>
                </wp:inline>
              </w:drawing>
            </w:r>
            <w:r w:rsidRPr="00DA32CE">
              <w:rPr>
                <w:bCs/>
                <w:szCs w:val="20"/>
              </w:rPr>
              <w:t xml:space="preserve">ou </w:t>
            </w:r>
            <w:r w:rsidRPr="00DA32CE">
              <w:rPr>
                <w:bCs/>
                <w:noProof/>
                <w:szCs w:val="20"/>
              </w:rPr>
              <w:drawing>
                <wp:inline distT="0" distB="0" distL="0" distR="0" wp14:anchorId="2CD441AC" wp14:editId="65E83CDF">
                  <wp:extent cx="288000" cy="288000"/>
                  <wp:effectExtent l="0" t="0" r="0" b="0"/>
                  <wp:docPr id="885322158" name="Graphique 885322158"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8000" cy="288000"/>
                          </a:xfrm>
                          <a:prstGeom prst="rect">
                            <a:avLst/>
                          </a:prstGeom>
                        </pic:spPr>
                      </pic:pic>
                    </a:graphicData>
                  </a:graphic>
                </wp:inline>
              </w:drawing>
            </w:r>
          </w:p>
        </w:tc>
        <w:tc>
          <w:tcPr>
            <w:tcW w:w="730" w:type="dxa"/>
            <w:shd w:val="clear" w:color="auto" w:fill="FFFF00"/>
            <w:vAlign w:val="center"/>
          </w:tcPr>
          <w:p w14:paraId="3BDC7D71" w14:textId="77777777" w:rsidR="00BE4F81" w:rsidRPr="00DA32CE" w:rsidRDefault="00BE4F81" w:rsidP="00F605DA">
            <w:pPr>
              <w:jc w:val="center"/>
              <w:rPr>
                <w:bCs/>
              </w:rPr>
            </w:pPr>
            <w:r>
              <w:rPr>
                <w:noProof/>
              </w:rPr>
              <w:drawing>
                <wp:inline distT="0" distB="0" distL="0" distR="0" wp14:anchorId="19742B9A" wp14:editId="0965414C">
                  <wp:extent cx="326486" cy="324000"/>
                  <wp:effectExtent l="0" t="0" r="0" b="0"/>
                  <wp:docPr id="11357590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789737" name="Image 6347897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6486" cy="324000"/>
                          </a:xfrm>
                          <a:prstGeom prst="rect">
                            <a:avLst/>
                          </a:prstGeom>
                        </pic:spPr>
                      </pic:pic>
                    </a:graphicData>
                  </a:graphic>
                </wp:inline>
              </w:drawing>
            </w:r>
          </w:p>
        </w:tc>
        <w:tc>
          <w:tcPr>
            <w:tcW w:w="853" w:type="dxa"/>
            <w:shd w:val="clear" w:color="auto" w:fill="FFFF00"/>
            <w:vAlign w:val="center"/>
          </w:tcPr>
          <w:p w14:paraId="14C529BA" w14:textId="77777777" w:rsidR="00BE4F81" w:rsidRPr="00DA32CE" w:rsidRDefault="00BE4F81" w:rsidP="00F605DA">
            <w:pPr>
              <w:jc w:val="center"/>
              <w:rPr>
                <w:bCs/>
                <w:i/>
              </w:rPr>
            </w:pPr>
            <w:r w:rsidRPr="00DA32CE">
              <w:rPr>
                <w:bCs/>
              </w:rPr>
              <w:t>Source</w:t>
            </w:r>
          </w:p>
        </w:tc>
      </w:tr>
    </w:tbl>
    <w:p w14:paraId="739EF6CE" w14:textId="77777777" w:rsidR="00BE4F81" w:rsidRDefault="00BE4F81" w:rsidP="00BE4F81">
      <w:pPr>
        <w:rPr>
          <w:rStyle w:val="Accentuationlgre"/>
          <w:b w:val="0"/>
        </w:rPr>
      </w:pPr>
    </w:p>
    <w:p w14:paraId="346F2EF4" w14:textId="77777777" w:rsidR="00BE4F81" w:rsidRDefault="00BE4F81" w:rsidP="00BE4F81">
      <w:pPr>
        <w:spacing w:after="120"/>
        <w:rPr>
          <w:b/>
          <w:sz w:val="24"/>
        </w:rPr>
      </w:pPr>
      <w:r w:rsidRPr="004126F9">
        <w:rPr>
          <w:b/>
          <w:sz w:val="24"/>
        </w:rPr>
        <w:t>Travail à faire</w:t>
      </w:r>
    </w:p>
    <w:p w14:paraId="3A73068F" w14:textId="31434786" w:rsidR="00BE4F81" w:rsidRPr="00234506" w:rsidRDefault="00BE4F81" w:rsidP="00BE4F81">
      <w:pPr>
        <w:spacing w:after="120"/>
        <w:rPr>
          <w:bCs/>
          <w:sz w:val="20"/>
          <w:szCs w:val="20"/>
        </w:rPr>
      </w:pPr>
      <w:r w:rsidRPr="00234506">
        <w:rPr>
          <w:rFonts w:cs="Arial"/>
          <w:bCs/>
          <w:sz w:val="20"/>
          <w:szCs w:val="20"/>
        </w:rPr>
        <w:t>À</w:t>
      </w:r>
      <w:r w:rsidRPr="00234506">
        <w:rPr>
          <w:bCs/>
          <w:sz w:val="20"/>
          <w:szCs w:val="20"/>
        </w:rPr>
        <w:t xml:space="preserve"> l’aide des documents fournis, répondez aux questions suivantes :</w:t>
      </w:r>
    </w:p>
    <w:p w14:paraId="286912B2" w14:textId="77777777" w:rsidR="00BE4F81" w:rsidRPr="00234506" w:rsidRDefault="00BE4F81" w:rsidP="00BE4F81">
      <w:pPr>
        <w:pStyle w:val="Paragraphedeliste"/>
        <w:numPr>
          <w:ilvl w:val="0"/>
          <w:numId w:val="7"/>
        </w:numPr>
        <w:jc w:val="both"/>
        <w:rPr>
          <w:bCs/>
          <w:sz w:val="20"/>
          <w:szCs w:val="20"/>
        </w:rPr>
      </w:pPr>
      <w:r w:rsidRPr="00234506">
        <w:rPr>
          <w:bCs/>
          <w:sz w:val="20"/>
          <w:szCs w:val="20"/>
        </w:rPr>
        <w:t>Quels avantages M. Duval cherchait-il en lançant un appel d’offres privé ?</w:t>
      </w:r>
    </w:p>
    <w:p w14:paraId="61FEF826" w14:textId="77777777" w:rsidR="00BE4F81" w:rsidRPr="00234506" w:rsidRDefault="00BE4F81" w:rsidP="00BE4F81">
      <w:pPr>
        <w:pStyle w:val="Paragraphedeliste"/>
        <w:numPr>
          <w:ilvl w:val="0"/>
          <w:numId w:val="7"/>
        </w:numPr>
        <w:jc w:val="both"/>
        <w:rPr>
          <w:bCs/>
          <w:sz w:val="20"/>
          <w:szCs w:val="20"/>
        </w:rPr>
      </w:pPr>
      <w:r w:rsidRPr="00234506">
        <w:rPr>
          <w:bCs/>
          <w:sz w:val="20"/>
          <w:szCs w:val="20"/>
        </w:rPr>
        <w:t>Quels sont les manquements constatés dans sa démarche ?</w:t>
      </w:r>
    </w:p>
    <w:p w14:paraId="0D82C092" w14:textId="77777777" w:rsidR="00BE4F81" w:rsidRPr="00234506" w:rsidRDefault="00BE4F81" w:rsidP="00BE4F81">
      <w:pPr>
        <w:pStyle w:val="Paragraphedeliste"/>
        <w:numPr>
          <w:ilvl w:val="0"/>
          <w:numId w:val="7"/>
        </w:numPr>
        <w:jc w:val="both"/>
        <w:rPr>
          <w:bCs/>
          <w:sz w:val="20"/>
          <w:szCs w:val="20"/>
        </w:rPr>
      </w:pPr>
      <w:r w:rsidRPr="00234506">
        <w:rPr>
          <w:bCs/>
          <w:sz w:val="20"/>
          <w:szCs w:val="20"/>
        </w:rPr>
        <w:t>En quoi la situation pose-t-elle un problème de loyauté ou d’équité entre les entreprises ?</w:t>
      </w:r>
    </w:p>
    <w:p w14:paraId="6C2250B1" w14:textId="77777777" w:rsidR="00BE4F81" w:rsidRPr="00234506" w:rsidRDefault="00BE4F81" w:rsidP="00BE4F81">
      <w:pPr>
        <w:pStyle w:val="Paragraphedeliste"/>
        <w:numPr>
          <w:ilvl w:val="0"/>
          <w:numId w:val="7"/>
        </w:numPr>
        <w:jc w:val="both"/>
        <w:rPr>
          <w:bCs/>
          <w:sz w:val="20"/>
          <w:szCs w:val="20"/>
        </w:rPr>
      </w:pPr>
      <w:r w:rsidRPr="00234506">
        <w:rPr>
          <w:bCs/>
          <w:sz w:val="20"/>
          <w:szCs w:val="20"/>
        </w:rPr>
        <w:t>Pourquoi un appel d’offres privé reste-t-il juridiquement risqué pour l’entreprise qui le lance ?</w:t>
      </w:r>
    </w:p>
    <w:p w14:paraId="7B7E8438" w14:textId="77777777" w:rsidR="00BE4F81" w:rsidRPr="00234506" w:rsidRDefault="00BE4F81" w:rsidP="00BE4F81">
      <w:pPr>
        <w:pStyle w:val="Paragraphedeliste"/>
        <w:numPr>
          <w:ilvl w:val="0"/>
          <w:numId w:val="7"/>
        </w:numPr>
        <w:jc w:val="both"/>
        <w:rPr>
          <w:bCs/>
          <w:sz w:val="20"/>
          <w:szCs w:val="20"/>
        </w:rPr>
      </w:pPr>
      <w:r w:rsidRPr="00234506">
        <w:rPr>
          <w:bCs/>
          <w:sz w:val="20"/>
          <w:szCs w:val="20"/>
        </w:rPr>
        <w:t>Citez trois limites de l’appel d’offres privé.</w:t>
      </w:r>
    </w:p>
    <w:p w14:paraId="3FA3442A" w14:textId="77777777" w:rsidR="00BE4F81" w:rsidRPr="00234506" w:rsidRDefault="00BE4F81" w:rsidP="00BE4F81">
      <w:pPr>
        <w:pStyle w:val="Paragraphedeliste"/>
        <w:numPr>
          <w:ilvl w:val="0"/>
          <w:numId w:val="7"/>
        </w:numPr>
        <w:jc w:val="both"/>
        <w:rPr>
          <w:bCs/>
          <w:sz w:val="20"/>
          <w:szCs w:val="20"/>
        </w:rPr>
      </w:pPr>
      <w:r w:rsidRPr="00234506">
        <w:rPr>
          <w:bCs/>
          <w:sz w:val="20"/>
          <w:szCs w:val="20"/>
        </w:rPr>
        <w:t>Proposez trois bonnes pratiques pour garantir plus de transparence dans ce type de procédure.</w:t>
      </w:r>
    </w:p>
    <w:p w14:paraId="757AE7C8" w14:textId="77777777" w:rsidR="00BE4F81" w:rsidRDefault="00BE4F81" w:rsidP="00BE4F81">
      <w:pPr>
        <w:jc w:val="both"/>
        <w:rPr>
          <w:rStyle w:val="Accentuationlgre"/>
        </w:rPr>
      </w:pPr>
    </w:p>
    <w:p w14:paraId="071ACC69" w14:textId="77777777" w:rsidR="00BE4F81" w:rsidRPr="00234506" w:rsidRDefault="00BE4F81" w:rsidP="00BE4F81">
      <w:pPr>
        <w:spacing w:after="120"/>
        <w:rPr>
          <w:b/>
          <w:sz w:val="20"/>
          <w:szCs w:val="20"/>
        </w:rPr>
      </w:pPr>
      <w:r w:rsidRPr="00234506">
        <w:rPr>
          <w:b/>
          <w:sz w:val="20"/>
          <w:szCs w:val="20"/>
        </w:rPr>
        <w:t>Contexte</w:t>
      </w:r>
    </w:p>
    <w:p w14:paraId="2A208939" w14:textId="77777777" w:rsidR="00BE4F81" w:rsidRPr="00234506" w:rsidRDefault="00BE4F81" w:rsidP="00BE4F81">
      <w:pPr>
        <w:spacing w:after="120"/>
        <w:jc w:val="both"/>
        <w:rPr>
          <w:bCs/>
          <w:sz w:val="20"/>
          <w:szCs w:val="20"/>
        </w:rPr>
      </w:pPr>
      <w:r w:rsidRPr="00234506">
        <w:rPr>
          <w:bCs/>
          <w:sz w:val="20"/>
          <w:szCs w:val="20"/>
        </w:rPr>
        <w:t>La société BatiConcept, promoteur immobilier implanté à Grenoble, prépare la construction d’un ensemble de bureaux écologiques.</w:t>
      </w:r>
    </w:p>
    <w:p w14:paraId="3D3D2893" w14:textId="77777777" w:rsidR="00BE4F81" w:rsidRPr="00234506" w:rsidRDefault="00BE4F81" w:rsidP="00BE4F81">
      <w:pPr>
        <w:spacing w:after="120"/>
        <w:jc w:val="both"/>
        <w:rPr>
          <w:bCs/>
          <w:sz w:val="20"/>
          <w:szCs w:val="20"/>
        </w:rPr>
      </w:pPr>
      <w:r w:rsidRPr="00234506">
        <w:rPr>
          <w:bCs/>
          <w:sz w:val="20"/>
          <w:szCs w:val="20"/>
        </w:rPr>
        <w:t>Le directeur technique, M. Duval, décide de lancer un appel d’offres privé auprès de plusieurs entreprises du bâtiment pour la partie « charpente et couverture ».</w:t>
      </w:r>
    </w:p>
    <w:p w14:paraId="6E4A5336" w14:textId="77777777" w:rsidR="00BE4F81" w:rsidRPr="00234506" w:rsidRDefault="00BE4F81" w:rsidP="00BE4F81">
      <w:pPr>
        <w:spacing w:after="120"/>
        <w:jc w:val="both"/>
        <w:rPr>
          <w:bCs/>
          <w:sz w:val="20"/>
          <w:szCs w:val="20"/>
        </w:rPr>
      </w:pPr>
      <w:r w:rsidRPr="00234506">
        <w:rPr>
          <w:bCs/>
          <w:sz w:val="20"/>
          <w:szCs w:val="20"/>
        </w:rPr>
        <w:t>Aucune obligation réglementaire ne l’impose, mais il souhaite obtenir plusieurs devis pour comparer les prix et les délais.</w:t>
      </w:r>
    </w:p>
    <w:p w14:paraId="34672738" w14:textId="77777777" w:rsidR="00BE4F81" w:rsidRPr="00234506" w:rsidRDefault="00BE4F81" w:rsidP="00BE4F81">
      <w:pPr>
        <w:jc w:val="both"/>
        <w:rPr>
          <w:bCs/>
          <w:sz w:val="20"/>
          <w:szCs w:val="20"/>
        </w:rPr>
      </w:pPr>
      <w:r w:rsidRPr="00234506">
        <w:rPr>
          <w:bCs/>
          <w:sz w:val="20"/>
          <w:szCs w:val="20"/>
        </w:rPr>
        <w:t>Trois entreprises sont contactées :</w:t>
      </w:r>
    </w:p>
    <w:p w14:paraId="745858B2" w14:textId="77777777" w:rsidR="00BE4F81" w:rsidRPr="00234506" w:rsidRDefault="00BE4F81" w:rsidP="00BE4F81">
      <w:pPr>
        <w:numPr>
          <w:ilvl w:val="0"/>
          <w:numId w:val="6"/>
        </w:numPr>
        <w:jc w:val="both"/>
        <w:rPr>
          <w:bCs/>
          <w:sz w:val="20"/>
          <w:szCs w:val="20"/>
        </w:rPr>
      </w:pPr>
      <w:r w:rsidRPr="00234506">
        <w:rPr>
          <w:bCs/>
          <w:sz w:val="20"/>
          <w:szCs w:val="20"/>
        </w:rPr>
        <w:t>ToitAlp, PME locale connue de M. Duval ;</w:t>
      </w:r>
    </w:p>
    <w:p w14:paraId="7C4F9E32" w14:textId="77777777" w:rsidR="00BE4F81" w:rsidRPr="00234506" w:rsidRDefault="00BE4F81" w:rsidP="00BE4F81">
      <w:pPr>
        <w:numPr>
          <w:ilvl w:val="0"/>
          <w:numId w:val="6"/>
        </w:numPr>
        <w:jc w:val="both"/>
        <w:rPr>
          <w:bCs/>
          <w:sz w:val="20"/>
          <w:szCs w:val="20"/>
        </w:rPr>
      </w:pPr>
      <w:r w:rsidRPr="00234506">
        <w:rPr>
          <w:bCs/>
          <w:sz w:val="20"/>
          <w:szCs w:val="20"/>
        </w:rPr>
        <w:t>EcoCharpente, société régionale certifiée RGE ;</w:t>
      </w:r>
    </w:p>
    <w:p w14:paraId="1574D5FC" w14:textId="77777777" w:rsidR="00BE4F81" w:rsidRPr="00234506" w:rsidRDefault="00BE4F81" w:rsidP="00BE4F81">
      <w:pPr>
        <w:numPr>
          <w:ilvl w:val="0"/>
          <w:numId w:val="6"/>
        </w:numPr>
        <w:jc w:val="both"/>
        <w:rPr>
          <w:bCs/>
          <w:sz w:val="20"/>
          <w:szCs w:val="20"/>
        </w:rPr>
      </w:pPr>
      <w:r w:rsidRPr="00234506">
        <w:rPr>
          <w:bCs/>
          <w:sz w:val="20"/>
          <w:szCs w:val="20"/>
        </w:rPr>
        <w:t>Bois&amp;Toit, entreprise nationale récemment implantée en Rhône-Alpes.</w:t>
      </w:r>
    </w:p>
    <w:p w14:paraId="3E41D4BA" w14:textId="77777777" w:rsidR="00BE4F81" w:rsidRPr="00234506" w:rsidRDefault="00BE4F81" w:rsidP="00BE4F81">
      <w:pPr>
        <w:spacing w:before="120"/>
        <w:jc w:val="both"/>
        <w:rPr>
          <w:bCs/>
          <w:sz w:val="20"/>
          <w:szCs w:val="20"/>
        </w:rPr>
      </w:pPr>
      <w:r w:rsidRPr="00234506">
        <w:rPr>
          <w:bCs/>
          <w:sz w:val="20"/>
          <w:szCs w:val="20"/>
        </w:rPr>
        <w:t>Quelques semaines plus tard, M. Duval retient ToitAlp, bien que son offre soit 20 % plus chère et que le délai soit plus long.</w:t>
      </w:r>
    </w:p>
    <w:p w14:paraId="7E8AB58A" w14:textId="77777777" w:rsidR="00BE4F81" w:rsidRPr="00234506" w:rsidRDefault="00BE4F81" w:rsidP="00BE4F81">
      <w:pPr>
        <w:spacing w:before="120"/>
        <w:jc w:val="both"/>
        <w:rPr>
          <w:bCs/>
          <w:sz w:val="20"/>
          <w:szCs w:val="20"/>
        </w:rPr>
      </w:pPr>
      <w:r w:rsidRPr="00234506">
        <w:rPr>
          <w:bCs/>
          <w:sz w:val="20"/>
          <w:szCs w:val="20"/>
        </w:rPr>
        <w:t>Les deux autres entreprises n’ont pas été informées des critères de choix.</w:t>
      </w:r>
    </w:p>
    <w:p w14:paraId="2A636466" w14:textId="77777777" w:rsidR="00BE4F81" w:rsidRPr="00234506" w:rsidRDefault="00BE4F81" w:rsidP="00BE4F81">
      <w:pPr>
        <w:spacing w:before="120"/>
        <w:jc w:val="both"/>
        <w:rPr>
          <w:bCs/>
          <w:sz w:val="20"/>
          <w:szCs w:val="20"/>
        </w:rPr>
      </w:pPr>
      <w:r w:rsidRPr="00234506">
        <w:rPr>
          <w:bCs/>
          <w:sz w:val="20"/>
          <w:szCs w:val="20"/>
        </w:rPr>
        <w:t>EcoCharpente, estimant avoir été écartée de façon arbitraire, envisage de porter l’affaire devant le tribunal de commerce, invoquant un manque de transparence et de loyauté commerciale.</w:t>
      </w:r>
    </w:p>
    <w:p w14:paraId="420F5ADF" w14:textId="77777777" w:rsidR="00BE4F81" w:rsidRPr="00234506" w:rsidRDefault="00BE4F81" w:rsidP="00BE4F81">
      <w:pPr>
        <w:jc w:val="both"/>
        <w:rPr>
          <w:bCs/>
          <w:sz w:val="20"/>
          <w:szCs w:val="20"/>
        </w:rPr>
      </w:pPr>
    </w:p>
    <w:p w14:paraId="5525744A" w14:textId="77777777" w:rsidR="00234506" w:rsidRPr="003E282C" w:rsidRDefault="00234506" w:rsidP="00234506">
      <w:pPr>
        <w:pStyle w:val="Titre2"/>
        <w:shd w:val="clear" w:color="auto" w:fill="FFFFFF"/>
        <w:spacing w:before="120"/>
        <w:rPr>
          <w:color w:val="333333"/>
          <w:sz w:val="32"/>
          <w:szCs w:val="32"/>
        </w:rPr>
      </w:pPr>
      <w:r w:rsidRPr="00DA32CE">
        <w:rPr>
          <w:color w:val="FFFFFF" w:themeColor="background1"/>
          <w:szCs w:val="24"/>
          <w:highlight w:val="red"/>
        </w:rPr>
        <w:t>Doc</w:t>
      </w:r>
      <w:r>
        <w:rPr>
          <w:color w:val="FFFFFF" w:themeColor="background1"/>
          <w:szCs w:val="24"/>
          <w:highlight w:val="red"/>
        </w:rPr>
        <w:t>. 1</w:t>
      </w:r>
      <w:r w:rsidRPr="00DA32CE">
        <w:rPr>
          <w:color w:val="FFFFFF" w:themeColor="background1"/>
          <w:szCs w:val="24"/>
        </w:rPr>
        <w:t xml:space="preserve">  </w:t>
      </w:r>
      <w:r>
        <w:rPr>
          <w:szCs w:val="24"/>
        </w:rPr>
        <w:t>Droit commun des contrats (</w:t>
      </w:r>
      <w:r w:rsidRPr="003E282C">
        <w:rPr>
          <w:sz w:val="24"/>
          <w:szCs w:val="24"/>
        </w:rPr>
        <w:t>Code de commerce art. L.442-1)</w:t>
      </w:r>
    </w:p>
    <w:p w14:paraId="18EB2F53" w14:textId="77777777" w:rsidR="00234506" w:rsidRPr="00234506" w:rsidRDefault="00234506" w:rsidP="00234506">
      <w:pPr>
        <w:spacing w:before="60" w:after="60"/>
        <w:jc w:val="both"/>
        <w:rPr>
          <w:bCs/>
          <w:sz w:val="20"/>
          <w:szCs w:val="20"/>
        </w:rPr>
      </w:pPr>
      <w:r w:rsidRPr="00234506">
        <w:rPr>
          <w:bCs/>
          <w:sz w:val="20"/>
          <w:szCs w:val="20"/>
        </w:rPr>
        <w:t xml:space="preserve">Les appels d’offres privés ne sont pas soumis au Code de la commande publique mais au droit commun des contrats. Cette liberté implique néanmoins le respect de principes juridiques essentiels : la </w:t>
      </w:r>
      <w:r w:rsidRPr="00234506">
        <w:rPr>
          <w:b/>
          <w:bCs/>
          <w:sz w:val="20"/>
          <w:szCs w:val="20"/>
        </w:rPr>
        <w:t>bonne foi</w:t>
      </w:r>
      <w:r w:rsidRPr="00234506">
        <w:rPr>
          <w:bCs/>
          <w:sz w:val="20"/>
          <w:szCs w:val="20"/>
        </w:rPr>
        <w:t xml:space="preserve">, la </w:t>
      </w:r>
      <w:r w:rsidRPr="00234506">
        <w:rPr>
          <w:b/>
          <w:bCs/>
          <w:sz w:val="20"/>
          <w:szCs w:val="20"/>
        </w:rPr>
        <w:t>loyauté</w:t>
      </w:r>
      <w:r w:rsidRPr="00234506">
        <w:rPr>
          <w:bCs/>
          <w:sz w:val="20"/>
          <w:szCs w:val="20"/>
        </w:rPr>
        <w:t xml:space="preserve"> et la </w:t>
      </w:r>
      <w:r w:rsidRPr="00234506">
        <w:rPr>
          <w:b/>
          <w:bCs/>
          <w:sz w:val="20"/>
          <w:szCs w:val="20"/>
        </w:rPr>
        <w:t>transparence</w:t>
      </w:r>
      <w:r w:rsidRPr="00234506">
        <w:rPr>
          <w:bCs/>
          <w:sz w:val="20"/>
          <w:szCs w:val="20"/>
        </w:rPr>
        <w:t xml:space="preserve"> dans la sélection des entreprises. </w:t>
      </w:r>
    </w:p>
    <w:p w14:paraId="118340F9" w14:textId="77777777" w:rsidR="00234506" w:rsidRPr="00234506" w:rsidRDefault="00234506" w:rsidP="00234506">
      <w:pPr>
        <w:spacing w:before="60" w:after="60"/>
        <w:jc w:val="both"/>
        <w:rPr>
          <w:bCs/>
          <w:sz w:val="20"/>
          <w:szCs w:val="20"/>
        </w:rPr>
      </w:pPr>
      <w:r w:rsidRPr="00234506">
        <w:rPr>
          <w:bCs/>
          <w:sz w:val="20"/>
          <w:szCs w:val="20"/>
        </w:rPr>
        <w:t xml:space="preserve">L’organisateur doit garantir un traitement équitable entre les candidats et ne pas modifier les règles en cours de procédure. En cas de rupture abusive ou de favoritisme, il peut voir sa </w:t>
      </w:r>
      <w:r w:rsidRPr="00234506">
        <w:rPr>
          <w:b/>
          <w:bCs/>
          <w:sz w:val="20"/>
          <w:szCs w:val="20"/>
        </w:rPr>
        <w:t>responsabilité civile engagée</w:t>
      </w:r>
      <w:r w:rsidRPr="00234506">
        <w:rPr>
          <w:bCs/>
          <w:sz w:val="20"/>
          <w:szCs w:val="20"/>
        </w:rPr>
        <w:t xml:space="preserve">. </w:t>
      </w:r>
    </w:p>
    <w:p w14:paraId="73603E4F" w14:textId="77777777" w:rsidR="00234506" w:rsidRPr="00234506" w:rsidRDefault="00234506" w:rsidP="00234506">
      <w:pPr>
        <w:spacing w:before="60" w:after="60"/>
        <w:jc w:val="both"/>
        <w:rPr>
          <w:bCs/>
          <w:sz w:val="20"/>
          <w:szCs w:val="20"/>
        </w:rPr>
      </w:pPr>
      <w:r w:rsidRPr="00234506">
        <w:rPr>
          <w:bCs/>
          <w:sz w:val="20"/>
          <w:szCs w:val="20"/>
        </w:rPr>
        <w:t xml:space="preserve">Les engagements implicites (promesse ou accord verbal) peuvent aussi créer des obligations contractuelles. La </w:t>
      </w:r>
      <w:r w:rsidRPr="00234506">
        <w:rPr>
          <w:b/>
          <w:bCs/>
          <w:sz w:val="20"/>
          <w:szCs w:val="20"/>
        </w:rPr>
        <w:t>divulgation d’informations</w:t>
      </w:r>
      <w:r w:rsidRPr="00234506">
        <w:rPr>
          <w:bCs/>
          <w:sz w:val="20"/>
          <w:szCs w:val="20"/>
        </w:rPr>
        <w:t xml:space="preserve"> ou le </w:t>
      </w:r>
      <w:r w:rsidRPr="00234506">
        <w:rPr>
          <w:b/>
          <w:bCs/>
          <w:sz w:val="20"/>
          <w:szCs w:val="20"/>
        </w:rPr>
        <w:t>copiage d’offres</w:t>
      </w:r>
      <w:r w:rsidRPr="00234506">
        <w:rPr>
          <w:bCs/>
          <w:sz w:val="20"/>
          <w:szCs w:val="20"/>
        </w:rPr>
        <w:t xml:space="preserve"> constituent des fautes relevant de la concurrence déloyale.</w:t>
      </w:r>
    </w:p>
    <w:p w14:paraId="1E9F4A3E" w14:textId="625B0575" w:rsidR="00BE4F81" w:rsidRPr="00234506" w:rsidRDefault="00234506" w:rsidP="00234506">
      <w:pPr>
        <w:spacing w:before="60" w:after="60"/>
        <w:jc w:val="both"/>
        <w:rPr>
          <w:bCs/>
          <w:sz w:val="20"/>
          <w:szCs w:val="20"/>
        </w:rPr>
      </w:pPr>
      <w:r w:rsidRPr="00234506">
        <w:rPr>
          <w:bCs/>
          <w:sz w:val="20"/>
          <w:szCs w:val="20"/>
        </w:rPr>
        <w:t xml:space="preserve">Enfin, une procédure injuste expose l’entreprise à des </w:t>
      </w:r>
      <w:r w:rsidRPr="00234506">
        <w:rPr>
          <w:b/>
          <w:bCs/>
          <w:sz w:val="20"/>
          <w:szCs w:val="20"/>
        </w:rPr>
        <w:t>risques juridiques et réputationnels</w:t>
      </w:r>
      <w:r w:rsidRPr="00234506">
        <w:rPr>
          <w:bCs/>
          <w:sz w:val="20"/>
          <w:szCs w:val="20"/>
        </w:rPr>
        <w:t>, nuisant à sa crédibilité et à ses relations commerciales.</w:t>
      </w:r>
      <w:r w:rsidRPr="003E282C">
        <w:rPr>
          <w:bCs/>
          <w:sz w:val="20"/>
          <w:szCs w:val="20"/>
        </w:rPr>
        <w:t>mener une procédure de sélection dans des conditions déloyales ou discriminatoires</w:t>
      </w:r>
      <w:r w:rsidRPr="00234506">
        <w:rPr>
          <w:bCs/>
          <w:sz w:val="20"/>
          <w:szCs w:val="20"/>
        </w:rPr>
        <w:t> »</w:t>
      </w:r>
      <w:r w:rsidRPr="003E282C">
        <w:rPr>
          <w:bCs/>
          <w:sz w:val="20"/>
          <w:szCs w:val="20"/>
        </w:rPr>
        <w:t>.</w:t>
      </w:r>
    </w:p>
    <w:p w14:paraId="5FEFDEA6" w14:textId="77777777" w:rsidR="00BE4F81" w:rsidRDefault="00BE4F81" w:rsidP="00BE4F81">
      <w:pPr>
        <w:pStyle w:val="Titre2"/>
        <w:shd w:val="clear" w:color="auto" w:fill="FFFFFF"/>
        <w:spacing w:before="240"/>
        <w:rPr>
          <w:color w:val="auto"/>
          <w:szCs w:val="24"/>
        </w:rPr>
      </w:pPr>
      <w:r w:rsidRPr="003E282C">
        <w:rPr>
          <w:color w:val="FFFFFF" w:themeColor="background1"/>
          <w:sz w:val="24"/>
          <w:szCs w:val="24"/>
          <w:highlight w:val="red"/>
        </w:rPr>
        <w:t xml:space="preserve">Doc. 2 </w:t>
      </w:r>
      <w:r>
        <w:rPr>
          <w:color w:val="auto"/>
          <w:szCs w:val="24"/>
        </w:rPr>
        <w:t xml:space="preserve"> </w:t>
      </w:r>
      <w:r w:rsidRPr="003E282C">
        <w:rPr>
          <w:color w:val="auto"/>
          <w:sz w:val="24"/>
          <w:szCs w:val="24"/>
        </w:rPr>
        <w:t>Synthèse comparative des offres</w:t>
      </w:r>
    </w:p>
    <w:tbl>
      <w:tblPr>
        <w:tblStyle w:val="Grilledutableau"/>
        <w:tblW w:w="10060" w:type="dxa"/>
        <w:tblLook w:val="04A0" w:firstRow="1" w:lastRow="0" w:firstColumn="1" w:lastColumn="0" w:noHBand="0" w:noVBand="1"/>
      </w:tblPr>
      <w:tblGrid>
        <w:gridCol w:w="1555"/>
        <w:gridCol w:w="1273"/>
        <w:gridCol w:w="1559"/>
        <w:gridCol w:w="2838"/>
        <w:gridCol w:w="2835"/>
      </w:tblGrid>
      <w:tr w:rsidR="00BE4F81" w:rsidRPr="00DD5512" w14:paraId="28CA7102" w14:textId="77777777" w:rsidTr="00F605DA">
        <w:tc>
          <w:tcPr>
            <w:tcW w:w="1555" w:type="dxa"/>
            <w:shd w:val="clear" w:color="auto" w:fill="E2EFD9" w:themeFill="accent6" w:themeFillTint="33"/>
            <w:vAlign w:val="center"/>
          </w:tcPr>
          <w:p w14:paraId="103D7401" w14:textId="77777777" w:rsidR="00BE4F81" w:rsidRPr="00DD5512" w:rsidRDefault="00BE4F81" w:rsidP="00F605DA">
            <w:pPr>
              <w:pStyle w:val="Titre2"/>
              <w:spacing w:before="60" w:after="60"/>
              <w:jc w:val="center"/>
              <w:rPr>
                <w:color w:val="FFFFFF" w:themeColor="background1"/>
                <w:szCs w:val="24"/>
                <w:highlight w:val="red"/>
              </w:rPr>
            </w:pPr>
            <w:r w:rsidRPr="003E282C">
              <w:rPr>
                <w:sz w:val="20"/>
              </w:rPr>
              <w:t>Entreprise</w:t>
            </w:r>
          </w:p>
        </w:tc>
        <w:tc>
          <w:tcPr>
            <w:tcW w:w="1273" w:type="dxa"/>
            <w:shd w:val="clear" w:color="auto" w:fill="E2EFD9" w:themeFill="accent6" w:themeFillTint="33"/>
            <w:vAlign w:val="center"/>
          </w:tcPr>
          <w:p w14:paraId="2097FAD8" w14:textId="77777777" w:rsidR="00BE4F81" w:rsidRPr="00DD5512" w:rsidRDefault="00BE4F81" w:rsidP="00F605DA">
            <w:pPr>
              <w:pStyle w:val="Titre2"/>
              <w:spacing w:before="60" w:after="60"/>
              <w:jc w:val="center"/>
              <w:rPr>
                <w:color w:val="FFFFFF" w:themeColor="background1"/>
                <w:szCs w:val="24"/>
                <w:highlight w:val="red"/>
              </w:rPr>
            </w:pPr>
            <w:r w:rsidRPr="003E282C">
              <w:rPr>
                <w:sz w:val="20"/>
              </w:rPr>
              <w:t>Prix HT (€)</w:t>
            </w:r>
          </w:p>
        </w:tc>
        <w:tc>
          <w:tcPr>
            <w:tcW w:w="1559" w:type="dxa"/>
            <w:shd w:val="clear" w:color="auto" w:fill="E2EFD9" w:themeFill="accent6" w:themeFillTint="33"/>
            <w:vAlign w:val="center"/>
          </w:tcPr>
          <w:p w14:paraId="017EF7F4" w14:textId="77777777" w:rsidR="00BE4F81" w:rsidRPr="00DD5512" w:rsidRDefault="00BE4F81" w:rsidP="00F605DA">
            <w:pPr>
              <w:pStyle w:val="Titre2"/>
              <w:spacing w:before="60" w:after="60"/>
              <w:jc w:val="center"/>
              <w:rPr>
                <w:color w:val="FFFFFF" w:themeColor="background1"/>
                <w:szCs w:val="24"/>
                <w:highlight w:val="red"/>
              </w:rPr>
            </w:pPr>
            <w:r w:rsidRPr="003E282C">
              <w:rPr>
                <w:sz w:val="20"/>
              </w:rPr>
              <w:t>Délai estimé (semaines)</w:t>
            </w:r>
          </w:p>
        </w:tc>
        <w:tc>
          <w:tcPr>
            <w:tcW w:w="2838" w:type="dxa"/>
            <w:shd w:val="clear" w:color="auto" w:fill="E2EFD9" w:themeFill="accent6" w:themeFillTint="33"/>
            <w:vAlign w:val="center"/>
          </w:tcPr>
          <w:p w14:paraId="7EFB0A0D" w14:textId="77777777" w:rsidR="00BE4F81" w:rsidRPr="00DD5512" w:rsidRDefault="00BE4F81" w:rsidP="00F605DA">
            <w:pPr>
              <w:pStyle w:val="Titre2"/>
              <w:spacing w:before="60" w:after="60"/>
              <w:jc w:val="center"/>
              <w:rPr>
                <w:color w:val="FFFFFF" w:themeColor="background1"/>
                <w:szCs w:val="24"/>
                <w:highlight w:val="red"/>
              </w:rPr>
            </w:pPr>
            <w:r w:rsidRPr="003E282C">
              <w:rPr>
                <w:sz w:val="20"/>
              </w:rPr>
              <w:t>Références techniques</w:t>
            </w:r>
          </w:p>
        </w:tc>
        <w:tc>
          <w:tcPr>
            <w:tcW w:w="2835" w:type="dxa"/>
            <w:shd w:val="clear" w:color="auto" w:fill="E2EFD9" w:themeFill="accent6" w:themeFillTint="33"/>
            <w:vAlign w:val="center"/>
          </w:tcPr>
          <w:p w14:paraId="7FBDA0B0" w14:textId="77777777" w:rsidR="00BE4F81" w:rsidRPr="00DD5512" w:rsidRDefault="00BE4F81" w:rsidP="00F605DA">
            <w:pPr>
              <w:pStyle w:val="Titre2"/>
              <w:spacing w:before="60" w:after="60"/>
              <w:jc w:val="center"/>
              <w:rPr>
                <w:color w:val="FFFFFF" w:themeColor="background1"/>
                <w:szCs w:val="24"/>
                <w:highlight w:val="red"/>
              </w:rPr>
            </w:pPr>
            <w:r w:rsidRPr="003E282C">
              <w:rPr>
                <w:sz w:val="20"/>
              </w:rPr>
              <w:t>Observations</w:t>
            </w:r>
          </w:p>
        </w:tc>
      </w:tr>
      <w:tr w:rsidR="00BE4F81" w:rsidRPr="00DD5512" w14:paraId="1C772F36" w14:textId="77777777" w:rsidTr="00F605DA">
        <w:tc>
          <w:tcPr>
            <w:tcW w:w="1555" w:type="dxa"/>
            <w:vAlign w:val="center"/>
          </w:tcPr>
          <w:p w14:paraId="795E10F2"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ToitAlp</w:t>
            </w:r>
          </w:p>
        </w:tc>
        <w:tc>
          <w:tcPr>
            <w:tcW w:w="1273" w:type="dxa"/>
            <w:vAlign w:val="center"/>
          </w:tcPr>
          <w:p w14:paraId="28BD0F19"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295 000</w:t>
            </w:r>
          </w:p>
        </w:tc>
        <w:tc>
          <w:tcPr>
            <w:tcW w:w="1559" w:type="dxa"/>
            <w:vAlign w:val="center"/>
          </w:tcPr>
          <w:p w14:paraId="77F8FD3B"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12</w:t>
            </w:r>
          </w:p>
        </w:tc>
        <w:tc>
          <w:tcPr>
            <w:tcW w:w="2838" w:type="dxa"/>
            <w:vAlign w:val="center"/>
          </w:tcPr>
          <w:p w14:paraId="2617C7C2"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Bonne réputation locale</w:t>
            </w:r>
          </w:p>
        </w:tc>
        <w:tc>
          <w:tcPr>
            <w:tcW w:w="2835" w:type="dxa"/>
            <w:vAlign w:val="center"/>
          </w:tcPr>
          <w:p w14:paraId="795712BF"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Offre la plus chère</w:t>
            </w:r>
          </w:p>
        </w:tc>
      </w:tr>
      <w:tr w:rsidR="00BE4F81" w:rsidRPr="00DD5512" w14:paraId="42DB0348" w14:textId="77777777" w:rsidTr="00F605DA">
        <w:tc>
          <w:tcPr>
            <w:tcW w:w="1555" w:type="dxa"/>
            <w:vAlign w:val="center"/>
          </w:tcPr>
          <w:p w14:paraId="235AEDFB"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EcoCharpente</w:t>
            </w:r>
          </w:p>
        </w:tc>
        <w:tc>
          <w:tcPr>
            <w:tcW w:w="1273" w:type="dxa"/>
            <w:vAlign w:val="center"/>
          </w:tcPr>
          <w:p w14:paraId="726874F9"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245 000</w:t>
            </w:r>
          </w:p>
        </w:tc>
        <w:tc>
          <w:tcPr>
            <w:tcW w:w="1559" w:type="dxa"/>
            <w:vAlign w:val="center"/>
          </w:tcPr>
          <w:p w14:paraId="2C5C568A"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10</w:t>
            </w:r>
          </w:p>
        </w:tc>
        <w:tc>
          <w:tcPr>
            <w:tcW w:w="2838" w:type="dxa"/>
            <w:vAlign w:val="center"/>
          </w:tcPr>
          <w:p w14:paraId="6D70BD21"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Certifiée RGE, très bons avis</w:t>
            </w:r>
          </w:p>
        </w:tc>
        <w:tc>
          <w:tcPr>
            <w:tcW w:w="2835" w:type="dxa"/>
            <w:vAlign w:val="center"/>
          </w:tcPr>
          <w:p w14:paraId="19148264"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Non retenue sans explication</w:t>
            </w:r>
          </w:p>
        </w:tc>
      </w:tr>
      <w:tr w:rsidR="00BE4F81" w:rsidRPr="00DD5512" w14:paraId="28C071E1" w14:textId="77777777" w:rsidTr="00F605DA">
        <w:tc>
          <w:tcPr>
            <w:tcW w:w="1555" w:type="dxa"/>
            <w:vAlign w:val="center"/>
          </w:tcPr>
          <w:p w14:paraId="6719A989"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Bois&amp;Toit</w:t>
            </w:r>
          </w:p>
        </w:tc>
        <w:tc>
          <w:tcPr>
            <w:tcW w:w="1273" w:type="dxa"/>
            <w:vAlign w:val="center"/>
          </w:tcPr>
          <w:p w14:paraId="5E89D871"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255 000</w:t>
            </w:r>
          </w:p>
        </w:tc>
        <w:tc>
          <w:tcPr>
            <w:tcW w:w="1559" w:type="dxa"/>
            <w:vAlign w:val="center"/>
          </w:tcPr>
          <w:p w14:paraId="69414190"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11</w:t>
            </w:r>
          </w:p>
        </w:tc>
        <w:tc>
          <w:tcPr>
            <w:tcW w:w="2838" w:type="dxa"/>
            <w:vAlign w:val="center"/>
          </w:tcPr>
          <w:p w14:paraId="077D1B57"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Expérience nationale</w:t>
            </w:r>
          </w:p>
        </w:tc>
        <w:tc>
          <w:tcPr>
            <w:tcW w:w="2835" w:type="dxa"/>
            <w:vAlign w:val="center"/>
          </w:tcPr>
          <w:p w14:paraId="658E8CE7" w14:textId="77777777" w:rsidR="00BE4F81" w:rsidRPr="00DD5512" w:rsidRDefault="00BE4F81" w:rsidP="00F605DA">
            <w:pPr>
              <w:pStyle w:val="Titre2"/>
              <w:spacing w:before="60" w:after="60"/>
              <w:rPr>
                <w:color w:val="FFFFFF" w:themeColor="background1"/>
                <w:szCs w:val="24"/>
                <w:highlight w:val="red"/>
              </w:rPr>
            </w:pPr>
            <w:r w:rsidRPr="003E282C">
              <w:rPr>
                <w:b w:val="0"/>
                <w:bCs/>
                <w:sz w:val="20"/>
              </w:rPr>
              <w:t>N’a pas été recontactée</w:t>
            </w:r>
          </w:p>
        </w:tc>
      </w:tr>
    </w:tbl>
    <w:p w14:paraId="79DD9728" w14:textId="77777777" w:rsidR="00BE4F81" w:rsidRPr="003E282C" w:rsidRDefault="00BE4F81" w:rsidP="00BE4F81">
      <w:pPr>
        <w:spacing w:before="240" w:after="120"/>
        <w:jc w:val="both"/>
        <w:rPr>
          <w:b/>
          <w:sz w:val="24"/>
          <w:szCs w:val="24"/>
        </w:rPr>
      </w:pPr>
      <w:r w:rsidRPr="003E282C">
        <w:rPr>
          <w:b/>
          <w:bCs/>
          <w:color w:val="FFFFFF" w:themeColor="background1"/>
          <w:sz w:val="24"/>
          <w:szCs w:val="24"/>
          <w:highlight w:val="red"/>
        </w:rPr>
        <w:t>Doc. 2</w:t>
      </w:r>
      <w:r w:rsidRPr="003E282C">
        <w:rPr>
          <w:color w:val="FFFFFF" w:themeColor="background1"/>
          <w:sz w:val="24"/>
          <w:szCs w:val="24"/>
          <w:highlight w:val="red"/>
        </w:rPr>
        <w:t xml:space="preserve"> </w:t>
      </w:r>
      <w:r w:rsidRPr="003E282C">
        <w:rPr>
          <w:b/>
          <w:sz w:val="24"/>
          <w:szCs w:val="24"/>
        </w:rPr>
        <w:t xml:space="preserve"> Note interne (extrait du mail du directeur technique)</w:t>
      </w:r>
    </w:p>
    <w:p w14:paraId="44FCD23E" w14:textId="77777777" w:rsidR="00BE4F81" w:rsidRPr="003E282C" w:rsidRDefault="00BE4F81" w:rsidP="00BE4F81">
      <w:pPr>
        <w:jc w:val="both"/>
        <w:rPr>
          <w:bCs/>
          <w:sz w:val="20"/>
          <w:szCs w:val="20"/>
        </w:rPr>
      </w:pPr>
      <w:r w:rsidRPr="003E282C">
        <w:rPr>
          <w:bCs/>
          <w:sz w:val="20"/>
          <w:szCs w:val="20"/>
        </w:rPr>
        <w:t>« Je préfère ToitAlp, ils sont du coin et j’ai confiance en leur sérieux. Même si c’est un peu plus cher, on se comprend. Les autres, je ne les connais pas trop, et ça peut faire des histoires avec les élus. »</w:t>
      </w:r>
    </w:p>
    <w:p w14:paraId="116C26E7" w14:textId="6B2C20EA" w:rsidR="0001361D" w:rsidRDefault="001204F6" w:rsidP="0001361D">
      <w:pPr>
        <w:spacing w:after="120"/>
        <w:rPr>
          <w:b/>
          <w:sz w:val="24"/>
        </w:rPr>
      </w:pPr>
      <w:r>
        <w:rPr>
          <w:b/>
          <w:sz w:val="24"/>
        </w:rPr>
        <w:lastRenderedPageBreak/>
        <w:t>Réponses</w:t>
      </w:r>
    </w:p>
    <w:bookmarkEnd w:id="0"/>
    <w:p w14:paraId="7CA39BAF" w14:textId="77777777" w:rsidR="00BE4F81" w:rsidRPr="00BE4F81" w:rsidRDefault="00BE4F81" w:rsidP="00BE4F81">
      <w:pPr>
        <w:pStyle w:val="Paragraphedeliste"/>
        <w:numPr>
          <w:ilvl w:val="0"/>
          <w:numId w:val="8"/>
        </w:numPr>
        <w:jc w:val="both"/>
        <w:rPr>
          <w:b/>
          <w:szCs w:val="20"/>
        </w:rPr>
      </w:pPr>
      <w:r w:rsidRPr="00BE4F81">
        <w:rPr>
          <w:b/>
          <w:szCs w:val="20"/>
        </w:rPr>
        <w:t>Quels avantages M. Duval cherchait-il en lançant un appel d’offres privé ?</w:t>
      </w:r>
    </w:p>
    <w:p w14:paraId="15E801C5" w14:textId="77777777" w:rsidR="00BE4F81" w:rsidRDefault="00BE4F81" w:rsidP="00BE4F81">
      <w:pPr>
        <w:jc w:val="both"/>
        <w:rPr>
          <w:bCs/>
          <w:szCs w:val="20"/>
        </w:rPr>
      </w:pPr>
    </w:p>
    <w:p w14:paraId="1C97843C" w14:textId="77777777" w:rsidR="00BE4F81" w:rsidRDefault="00BE4F81" w:rsidP="00BE4F81">
      <w:pPr>
        <w:jc w:val="both"/>
        <w:rPr>
          <w:bCs/>
          <w:szCs w:val="20"/>
        </w:rPr>
      </w:pPr>
    </w:p>
    <w:p w14:paraId="76D432A6" w14:textId="77777777" w:rsidR="00BE4F81" w:rsidRDefault="00BE4F81" w:rsidP="00BE4F81">
      <w:pPr>
        <w:jc w:val="both"/>
        <w:rPr>
          <w:bCs/>
          <w:szCs w:val="20"/>
        </w:rPr>
      </w:pPr>
    </w:p>
    <w:p w14:paraId="599F7ADF" w14:textId="77777777" w:rsidR="00BE4F81" w:rsidRDefault="00BE4F81" w:rsidP="00BE4F81">
      <w:pPr>
        <w:jc w:val="both"/>
        <w:rPr>
          <w:bCs/>
          <w:szCs w:val="20"/>
        </w:rPr>
      </w:pPr>
    </w:p>
    <w:p w14:paraId="7AAA975F" w14:textId="77777777" w:rsidR="00BE4F81" w:rsidRPr="00BE4F81" w:rsidRDefault="00BE4F81" w:rsidP="00BE4F81">
      <w:pPr>
        <w:jc w:val="both"/>
        <w:rPr>
          <w:bCs/>
          <w:szCs w:val="20"/>
        </w:rPr>
      </w:pPr>
    </w:p>
    <w:p w14:paraId="2B98718D" w14:textId="77777777" w:rsidR="00BE4F81" w:rsidRPr="00BE4F81" w:rsidRDefault="00BE4F81" w:rsidP="00BE4F81">
      <w:pPr>
        <w:pStyle w:val="Paragraphedeliste"/>
        <w:numPr>
          <w:ilvl w:val="0"/>
          <w:numId w:val="8"/>
        </w:numPr>
        <w:jc w:val="both"/>
        <w:rPr>
          <w:b/>
          <w:szCs w:val="20"/>
        </w:rPr>
      </w:pPr>
      <w:r w:rsidRPr="00BE4F81">
        <w:rPr>
          <w:b/>
          <w:szCs w:val="20"/>
        </w:rPr>
        <w:t>Quels sont les manquements constatés dans sa démarche ?</w:t>
      </w:r>
    </w:p>
    <w:p w14:paraId="10AA8537" w14:textId="77777777" w:rsidR="00BE4F81" w:rsidRDefault="00BE4F81" w:rsidP="00BE4F81">
      <w:pPr>
        <w:jc w:val="both"/>
        <w:rPr>
          <w:bCs/>
          <w:szCs w:val="20"/>
        </w:rPr>
      </w:pPr>
    </w:p>
    <w:p w14:paraId="18E76DE8" w14:textId="77777777" w:rsidR="00BE4F81" w:rsidRDefault="00BE4F81" w:rsidP="00BE4F81">
      <w:pPr>
        <w:jc w:val="both"/>
        <w:rPr>
          <w:bCs/>
          <w:szCs w:val="20"/>
        </w:rPr>
      </w:pPr>
    </w:p>
    <w:p w14:paraId="430076FE" w14:textId="77777777" w:rsidR="00BE4F81" w:rsidRDefault="00BE4F81" w:rsidP="00BE4F81">
      <w:pPr>
        <w:jc w:val="both"/>
        <w:rPr>
          <w:bCs/>
          <w:szCs w:val="20"/>
        </w:rPr>
      </w:pPr>
    </w:p>
    <w:p w14:paraId="09CC4665" w14:textId="77777777" w:rsidR="00BE4F81" w:rsidRDefault="00BE4F81" w:rsidP="00BE4F81">
      <w:pPr>
        <w:jc w:val="both"/>
        <w:rPr>
          <w:bCs/>
          <w:szCs w:val="20"/>
        </w:rPr>
      </w:pPr>
    </w:p>
    <w:p w14:paraId="539179EF" w14:textId="77777777" w:rsidR="00BE4F81" w:rsidRPr="00BE4F81" w:rsidRDefault="00BE4F81" w:rsidP="00BE4F81">
      <w:pPr>
        <w:jc w:val="both"/>
        <w:rPr>
          <w:bCs/>
          <w:szCs w:val="20"/>
        </w:rPr>
      </w:pPr>
    </w:p>
    <w:p w14:paraId="1248F422" w14:textId="77777777" w:rsidR="00BE4F81" w:rsidRPr="00BE4F81" w:rsidRDefault="00BE4F81" w:rsidP="00BE4F81">
      <w:pPr>
        <w:pStyle w:val="Paragraphedeliste"/>
        <w:numPr>
          <w:ilvl w:val="0"/>
          <w:numId w:val="8"/>
        </w:numPr>
        <w:jc w:val="both"/>
        <w:rPr>
          <w:b/>
          <w:szCs w:val="20"/>
        </w:rPr>
      </w:pPr>
      <w:r w:rsidRPr="00BE4F81">
        <w:rPr>
          <w:b/>
          <w:szCs w:val="20"/>
        </w:rPr>
        <w:t>En quoi la situation pose-t-elle un problème de loyauté ou d’équité entre les entreprises ?</w:t>
      </w:r>
    </w:p>
    <w:p w14:paraId="56FBB4E8" w14:textId="77777777" w:rsidR="00BE4F81" w:rsidRDefault="00BE4F81" w:rsidP="00BE4F81">
      <w:pPr>
        <w:jc w:val="both"/>
        <w:rPr>
          <w:bCs/>
          <w:szCs w:val="20"/>
        </w:rPr>
      </w:pPr>
    </w:p>
    <w:p w14:paraId="7004C2CF" w14:textId="77777777" w:rsidR="00BE4F81" w:rsidRDefault="00BE4F81" w:rsidP="00BE4F81">
      <w:pPr>
        <w:jc w:val="both"/>
        <w:rPr>
          <w:bCs/>
          <w:szCs w:val="20"/>
        </w:rPr>
      </w:pPr>
    </w:p>
    <w:p w14:paraId="36363688" w14:textId="77777777" w:rsidR="00BE4F81" w:rsidRDefault="00BE4F81" w:rsidP="00BE4F81">
      <w:pPr>
        <w:jc w:val="both"/>
        <w:rPr>
          <w:bCs/>
          <w:szCs w:val="20"/>
        </w:rPr>
      </w:pPr>
    </w:p>
    <w:p w14:paraId="420934B6" w14:textId="77777777" w:rsidR="00BE4F81" w:rsidRDefault="00BE4F81" w:rsidP="00BE4F81">
      <w:pPr>
        <w:jc w:val="both"/>
        <w:rPr>
          <w:bCs/>
          <w:szCs w:val="20"/>
        </w:rPr>
      </w:pPr>
    </w:p>
    <w:p w14:paraId="60864272" w14:textId="77777777" w:rsidR="00BE4F81" w:rsidRPr="00BE4F81" w:rsidRDefault="00BE4F81" w:rsidP="00BE4F81">
      <w:pPr>
        <w:jc w:val="both"/>
        <w:rPr>
          <w:bCs/>
          <w:szCs w:val="20"/>
        </w:rPr>
      </w:pPr>
    </w:p>
    <w:p w14:paraId="13CA81E3" w14:textId="77777777" w:rsidR="00BE4F81" w:rsidRPr="00BE4F81" w:rsidRDefault="00BE4F81" w:rsidP="00BE4F81">
      <w:pPr>
        <w:pStyle w:val="Paragraphedeliste"/>
        <w:numPr>
          <w:ilvl w:val="0"/>
          <w:numId w:val="8"/>
        </w:numPr>
        <w:jc w:val="both"/>
        <w:rPr>
          <w:b/>
          <w:szCs w:val="20"/>
        </w:rPr>
      </w:pPr>
      <w:r w:rsidRPr="00BE4F81">
        <w:rPr>
          <w:b/>
          <w:szCs w:val="20"/>
        </w:rPr>
        <w:t>Pourquoi un appel d’offres privé reste-t-il juridiquement risqué pour l’entreprise qui le lance ?</w:t>
      </w:r>
    </w:p>
    <w:p w14:paraId="0E8ACF0A" w14:textId="77777777" w:rsidR="00BE4F81" w:rsidRDefault="00BE4F81" w:rsidP="00BE4F81">
      <w:pPr>
        <w:jc w:val="both"/>
        <w:rPr>
          <w:bCs/>
          <w:szCs w:val="20"/>
        </w:rPr>
      </w:pPr>
    </w:p>
    <w:p w14:paraId="0AF78A38" w14:textId="77777777" w:rsidR="00BE4F81" w:rsidRDefault="00BE4F81" w:rsidP="00BE4F81">
      <w:pPr>
        <w:jc w:val="both"/>
        <w:rPr>
          <w:bCs/>
          <w:szCs w:val="20"/>
        </w:rPr>
      </w:pPr>
    </w:p>
    <w:p w14:paraId="680F6CDA" w14:textId="77777777" w:rsidR="00BE4F81" w:rsidRDefault="00BE4F81" w:rsidP="00BE4F81">
      <w:pPr>
        <w:jc w:val="both"/>
        <w:rPr>
          <w:bCs/>
          <w:szCs w:val="20"/>
        </w:rPr>
      </w:pPr>
    </w:p>
    <w:p w14:paraId="6CA24916" w14:textId="77777777" w:rsidR="00BE4F81" w:rsidRDefault="00BE4F81" w:rsidP="00BE4F81">
      <w:pPr>
        <w:jc w:val="both"/>
        <w:rPr>
          <w:bCs/>
          <w:szCs w:val="20"/>
        </w:rPr>
      </w:pPr>
    </w:p>
    <w:p w14:paraId="6C564B65" w14:textId="77777777" w:rsidR="00BE4F81" w:rsidRPr="00BE4F81" w:rsidRDefault="00BE4F81" w:rsidP="00BE4F81">
      <w:pPr>
        <w:jc w:val="both"/>
        <w:rPr>
          <w:bCs/>
          <w:szCs w:val="20"/>
        </w:rPr>
      </w:pPr>
    </w:p>
    <w:p w14:paraId="5AE5AA85" w14:textId="77777777" w:rsidR="00BE4F81" w:rsidRPr="00BE4F81" w:rsidRDefault="00BE4F81" w:rsidP="00BE4F81">
      <w:pPr>
        <w:pStyle w:val="Paragraphedeliste"/>
        <w:numPr>
          <w:ilvl w:val="0"/>
          <w:numId w:val="8"/>
        </w:numPr>
        <w:jc w:val="both"/>
        <w:rPr>
          <w:b/>
          <w:szCs w:val="20"/>
        </w:rPr>
      </w:pPr>
      <w:r w:rsidRPr="00BE4F81">
        <w:rPr>
          <w:b/>
          <w:szCs w:val="20"/>
        </w:rPr>
        <w:t>Citez trois limites de l’appel d’offres privé.</w:t>
      </w:r>
    </w:p>
    <w:p w14:paraId="69E1F355" w14:textId="77777777" w:rsidR="00BE4F81" w:rsidRDefault="00BE4F81" w:rsidP="00BE4F81">
      <w:pPr>
        <w:jc w:val="both"/>
        <w:rPr>
          <w:bCs/>
          <w:szCs w:val="20"/>
        </w:rPr>
      </w:pPr>
    </w:p>
    <w:p w14:paraId="02668B6F" w14:textId="77777777" w:rsidR="00BE4F81" w:rsidRDefault="00BE4F81" w:rsidP="00BE4F81">
      <w:pPr>
        <w:jc w:val="both"/>
        <w:rPr>
          <w:bCs/>
          <w:szCs w:val="20"/>
        </w:rPr>
      </w:pPr>
    </w:p>
    <w:p w14:paraId="19E4618C" w14:textId="77777777" w:rsidR="00BE4F81" w:rsidRDefault="00BE4F81" w:rsidP="00BE4F81">
      <w:pPr>
        <w:jc w:val="both"/>
        <w:rPr>
          <w:bCs/>
          <w:szCs w:val="20"/>
        </w:rPr>
      </w:pPr>
    </w:p>
    <w:p w14:paraId="491F057C" w14:textId="77777777" w:rsidR="00BE4F81" w:rsidRDefault="00BE4F81" w:rsidP="00BE4F81">
      <w:pPr>
        <w:jc w:val="both"/>
        <w:rPr>
          <w:bCs/>
          <w:szCs w:val="20"/>
        </w:rPr>
      </w:pPr>
    </w:p>
    <w:p w14:paraId="2D697D13" w14:textId="77777777" w:rsidR="00BE4F81" w:rsidRPr="00BE4F81" w:rsidRDefault="00BE4F81" w:rsidP="00BE4F81">
      <w:pPr>
        <w:jc w:val="both"/>
        <w:rPr>
          <w:bCs/>
          <w:szCs w:val="20"/>
        </w:rPr>
      </w:pPr>
    </w:p>
    <w:p w14:paraId="37CB8DFA" w14:textId="77777777" w:rsidR="00BE4F81" w:rsidRPr="00BE4F81" w:rsidRDefault="00BE4F81" w:rsidP="00BE4F81">
      <w:pPr>
        <w:pStyle w:val="Paragraphedeliste"/>
        <w:numPr>
          <w:ilvl w:val="0"/>
          <w:numId w:val="8"/>
        </w:numPr>
        <w:jc w:val="both"/>
        <w:rPr>
          <w:b/>
          <w:szCs w:val="20"/>
        </w:rPr>
      </w:pPr>
      <w:r w:rsidRPr="00BE4F81">
        <w:rPr>
          <w:b/>
          <w:szCs w:val="20"/>
        </w:rPr>
        <w:t>Proposez trois bonnes pratiques pour garantir plus de transparence dans ce type de procédure.</w:t>
      </w:r>
    </w:p>
    <w:p w14:paraId="3CC1B91E" w14:textId="77777777" w:rsidR="00BF37FA" w:rsidRDefault="00BF37FA"/>
    <w:sectPr w:rsidR="00BF37FA" w:rsidSect="001204F6">
      <w:pgSz w:w="11906" w:h="16838"/>
      <w:pgMar w:top="851" w:right="851"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C54"/>
    <w:multiLevelType w:val="hybridMultilevel"/>
    <w:tmpl w:val="75247BDE"/>
    <w:lvl w:ilvl="0" w:tplc="EC8423F2">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BE875EF"/>
    <w:multiLevelType w:val="hybridMultilevel"/>
    <w:tmpl w:val="39A84AC8"/>
    <w:lvl w:ilvl="0" w:tplc="2D4AC8E8">
      <w:start w:val="1"/>
      <w:numFmt w:val="decimal"/>
      <w:lvlText w:val="%1."/>
      <w:lvlJc w:val="left"/>
      <w:pPr>
        <w:ind w:left="360" w:hanging="360"/>
      </w:pPr>
      <w:rPr>
        <w:rFonts w:hint="default"/>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07E2D02"/>
    <w:multiLevelType w:val="hybridMultilevel"/>
    <w:tmpl w:val="D512B7C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6EBD0E02"/>
    <w:multiLevelType w:val="hybridMultilevel"/>
    <w:tmpl w:val="0D9C6CE6"/>
    <w:lvl w:ilvl="0" w:tplc="808038D0">
      <w:start w:val="1"/>
      <w:numFmt w:val="decimal"/>
      <w:lvlText w:val="%1."/>
      <w:lvlJc w:val="left"/>
      <w:pPr>
        <w:ind w:left="360" w:hanging="360"/>
      </w:pPr>
      <w:rPr>
        <w:rFonts w:hint="default"/>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7A9E4F79"/>
    <w:multiLevelType w:val="multilevel"/>
    <w:tmpl w:val="5864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D71AB"/>
    <w:multiLevelType w:val="hybridMultilevel"/>
    <w:tmpl w:val="0946FFC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63854551">
    <w:abstractNumId w:val="0"/>
  </w:num>
  <w:num w:numId="2" w16cid:durableId="1353606930">
    <w:abstractNumId w:val="3"/>
  </w:num>
  <w:num w:numId="3" w16cid:durableId="1618177366">
    <w:abstractNumId w:val="0"/>
  </w:num>
  <w:num w:numId="4" w16cid:durableId="137303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4444639">
    <w:abstractNumId w:val="1"/>
  </w:num>
  <w:num w:numId="6" w16cid:durableId="1814323968">
    <w:abstractNumId w:val="4"/>
  </w:num>
  <w:num w:numId="7" w16cid:durableId="1184127072">
    <w:abstractNumId w:val="2"/>
  </w:num>
  <w:num w:numId="8" w16cid:durableId="1606112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73"/>
    <w:rsid w:val="0001361D"/>
    <w:rsid w:val="000764E8"/>
    <w:rsid w:val="000914ED"/>
    <w:rsid w:val="001204F6"/>
    <w:rsid w:val="00125971"/>
    <w:rsid w:val="00174DF3"/>
    <w:rsid w:val="00234506"/>
    <w:rsid w:val="00412973"/>
    <w:rsid w:val="00442B73"/>
    <w:rsid w:val="005F349E"/>
    <w:rsid w:val="007802E6"/>
    <w:rsid w:val="008F0E38"/>
    <w:rsid w:val="00944A38"/>
    <w:rsid w:val="00AA40AF"/>
    <w:rsid w:val="00B1040B"/>
    <w:rsid w:val="00BE4F81"/>
    <w:rsid w:val="00BF37FA"/>
    <w:rsid w:val="00C63055"/>
    <w:rsid w:val="00E65590"/>
    <w:rsid w:val="00F47F79"/>
    <w:rsid w:val="00F72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42A0"/>
  <w15:chartTrackingRefBased/>
  <w15:docId w15:val="{D5B94C69-DF03-4165-B927-26014C30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973"/>
    <w:pPr>
      <w:spacing w:after="0" w:line="240" w:lineRule="auto"/>
    </w:pPr>
    <w:rPr>
      <w:rFonts w:ascii="Arial" w:eastAsia="Calibri" w:hAnsi="Arial" w:cs="Times New Roman"/>
    </w:rPr>
  </w:style>
  <w:style w:type="paragraph" w:styleId="Titre2">
    <w:name w:val="heading 2"/>
    <w:basedOn w:val="Normal"/>
    <w:link w:val="Titre2Car"/>
    <w:uiPriority w:val="9"/>
    <w:qFormat/>
    <w:rsid w:val="00412973"/>
    <w:pPr>
      <w:spacing w:after="120"/>
      <w:outlineLvl w:val="1"/>
    </w:pPr>
    <w:rPr>
      <w:rFonts w:eastAsia="Times New Roman" w:cs="Arial"/>
      <w:b/>
      <w:color w:val="000000"/>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12973"/>
    <w:rPr>
      <w:rFonts w:ascii="Arial" w:eastAsia="Times New Roman" w:hAnsi="Arial" w:cs="Arial"/>
      <w:b/>
      <w:color w:val="000000"/>
      <w:sz w:val="28"/>
      <w:szCs w:val="20"/>
      <w:lang w:eastAsia="fr-FR"/>
    </w:rPr>
  </w:style>
  <w:style w:type="paragraph" w:styleId="Paragraphedeliste">
    <w:name w:val="List Paragraph"/>
    <w:basedOn w:val="Normal"/>
    <w:uiPriority w:val="34"/>
    <w:qFormat/>
    <w:rsid w:val="00412973"/>
    <w:pPr>
      <w:ind w:left="720"/>
      <w:contextualSpacing/>
    </w:pPr>
  </w:style>
  <w:style w:type="character" w:styleId="Accentuationlgre">
    <w:name w:val="Subtle Emphasis"/>
    <w:aliases w:val="Titre 111"/>
    <w:uiPriority w:val="19"/>
    <w:qFormat/>
    <w:rsid w:val="00412973"/>
    <w:rPr>
      <w:rFonts w:ascii="Arial" w:hAnsi="Arial"/>
      <w:b/>
      <w:sz w:val="24"/>
    </w:rPr>
  </w:style>
  <w:style w:type="table" w:styleId="Grilledutableau">
    <w:name w:val="Table Grid"/>
    <w:basedOn w:val="TableauNormal"/>
    <w:uiPriority w:val="59"/>
    <w:rsid w:val="00BE4F8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56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sv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14770-7194-4F21-86FD-AC76AF03B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581</Words>
  <Characters>3199</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18</cp:revision>
  <dcterms:created xsi:type="dcterms:W3CDTF">2014-12-17T13:47:00Z</dcterms:created>
  <dcterms:modified xsi:type="dcterms:W3CDTF">2025-11-05T20:04:00Z</dcterms:modified>
</cp:coreProperties>
</file>