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6946"/>
        <w:gridCol w:w="1417"/>
      </w:tblGrid>
      <w:tr w:rsidR="0035085D" w:rsidRPr="00C22356" w14:paraId="2F45561C" w14:textId="77777777" w:rsidTr="00AB4BB2">
        <w:trPr>
          <w:trHeight w:val="386"/>
        </w:trPr>
        <w:tc>
          <w:tcPr>
            <w:tcW w:w="9776" w:type="dxa"/>
            <w:gridSpan w:val="3"/>
            <w:shd w:val="clear" w:color="auto" w:fill="FFFF00"/>
          </w:tcPr>
          <w:p w14:paraId="4E316611" w14:textId="77777777" w:rsidR="0035085D" w:rsidRPr="00DA32CE" w:rsidRDefault="0035085D" w:rsidP="00AB4BB2">
            <w:pPr>
              <w:pStyle w:val="Titre2"/>
              <w:spacing w:after="0"/>
              <w:jc w:val="center"/>
              <w:rPr>
                <w:rFonts w:ascii="Arial" w:hAnsi="Arial"/>
                <w:sz w:val="28"/>
                <w:szCs w:val="22"/>
              </w:rPr>
            </w:pPr>
            <w:r w:rsidRPr="00DA32CE">
              <w:rPr>
                <w:rFonts w:ascii="Arial" w:hAnsi="Arial"/>
                <w:sz w:val="28"/>
                <w:szCs w:val="22"/>
              </w:rPr>
              <w:t>Réflexion</w:t>
            </w:r>
            <w:r>
              <w:rPr>
                <w:rFonts w:ascii="Arial" w:hAnsi="Arial"/>
                <w:sz w:val="28"/>
                <w:szCs w:val="22"/>
              </w:rPr>
              <w:t xml:space="preserve"> 2</w:t>
            </w:r>
          </w:p>
          <w:p w14:paraId="58256FF8" w14:textId="2C1714A7" w:rsidR="00297718" w:rsidRPr="00DA32CE" w:rsidRDefault="0035085D" w:rsidP="00297718">
            <w:pPr>
              <w:pStyle w:val="Titre2"/>
              <w:spacing w:after="0"/>
              <w:jc w:val="center"/>
              <w:rPr>
                <w:rFonts w:ascii="Arial" w:hAnsi="Arial"/>
                <w:sz w:val="28"/>
                <w:szCs w:val="22"/>
              </w:rPr>
            </w:pPr>
            <w:r>
              <w:rPr>
                <w:rFonts w:ascii="Arial" w:hAnsi="Arial"/>
                <w:sz w:val="28"/>
                <w:szCs w:val="22"/>
              </w:rPr>
              <w:t>Identifier les risques liés au no</w:t>
            </w:r>
            <w:r w:rsidR="00625C60">
              <w:rPr>
                <w:rFonts w:ascii="Arial" w:hAnsi="Arial"/>
                <w:sz w:val="28"/>
                <w:szCs w:val="22"/>
              </w:rPr>
              <w:t>n</w:t>
            </w:r>
            <w:r>
              <w:rPr>
                <w:rFonts w:ascii="Arial" w:hAnsi="Arial"/>
                <w:sz w:val="28"/>
                <w:szCs w:val="22"/>
              </w:rPr>
              <w:t xml:space="preserve"> respect d’un appel d’offres</w:t>
            </w:r>
          </w:p>
        </w:tc>
      </w:tr>
      <w:tr w:rsidR="0035085D" w:rsidRPr="00DA32CE" w14:paraId="12612FD7" w14:textId="77777777" w:rsidTr="00AB4BB2">
        <w:trPr>
          <w:trHeight w:val="267"/>
        </w:trPr>
        <w:tc>
          <w:tcPr>
            <w:tcW w:w="1413" w:type="dxa"/>
            <w:shd w:val="clear" w:color="auto" w:fill="FFFF00"/>
            <w:vAlign w:val="center"/>
          </w:tcPr>
          <w:p w14:paraId="120541EC" w14:textId="77777777" w:rsidR="0035085D" w:rsidRPr="00DA32CE" w:rsidRDefault="0035085D" w:rsidP="00AB4BB2">
            <w:pPr>
              <w:rPr>
                <w:bCs/>
              </w:rPr>
            </w:pPr>
            <w:r w:rsidRPr="00DA32CE">
              <w:rPr>
                <w:bCs/>
              </w:rPr>
              <w:t>Durée : 15’</w:t>
            </w:r>
          </w:p>
        </w:tc>
        <w:tc>
          <w:tcPr>
            <w:tcW w:w="6946" w:type="dxa"/>
            <w:shd w:val="clear" w:color="auto" w:fill="FFFF00"/>
            <w:vAlign w:val="center"/>
          </w:tcPr>
          <w:p w14:paraId="6EBEB4BA" w14:textId="77777777" w:rsidR="0035085D" w:rsidRPr="00DA32CE" w:rsidRDefault="0035085D" w:rsidP="00AB4BB2">
            <w:pPr>
              <w:jc w:val="center"/>
              <w:rPr>
                <w:bCs/>
              </w:rPr>
            </w:pPr>
            <w:r w:rsidRPr="00DA32CE">
              <w:rPr>
                <w:bCs/>
                <w:noProof/>
                <w:szCs w:val="20"/>
              </w:rPr>
              <w:drawing>
                <wp:inline distT="0" distB="0" distL="0" distR="0" wp14:anchorId="58098441" wp14:editId="0023920D">
                  <wp:extent cx="252000" cy="252000"/>
                  <wp:effectExtent l="0" t="0" r="0" b="0"/>
                  <wp:docPr id="17" name="Graphique 1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2000" cy="252000"/>
                          </a:xfrm>
                          <a:prstGeom prst="rect">
                            <a:avLst/>
                          </a:prstGeom>
                        </pic:spPr>
                      </pic:pic>
                    </a:graphicData>
                  </a:graphic>
                </wp:inline>
              </w:drawing>
            </w:r>
            <w:r w:rsidRPr="00DA32CE">
              <w:rPr>
                <w:bCs/>
                <w:szCs w:val="20"/>
              </w:rPr>
              <w:t xml:space="preserve">ou </w:t>
            </w:r>
            <w:r w:rsidRPr="00DA32CE">
              <w:rPr>
                <w:bCs/>
                <w:noProof/>
                <w:szCs w:val="20"/>
              </w:rPr>
              <w:drawing>
                <wp:inline distT="0" distB="0" distL="0" distR="0" wp14:anchorId="6FA6A76E" wp14:editId="67721554">
                  <wp:extent cx="288000" cy="288000"/>
                  <wp:effectExtent l="0" t="0" r="0" b="0"/>
                  <wp:docPr id="18" name="Graphique 1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p>
        </w:tc>
        <w:tc>
          <w:tcPr>
            <w:tcW w:w="1417" w:type="dxa"/>
            <w:shd w:val="clear" w:color="auto" w:fill="FFFF00"/>
            <w:vAlign w:val="center"/>
          </w:tcPr>
          <w:p w14:paraId="2528340A" w14:textId="77777777" w:rsidR="0035085D" w:rsidRPr="00DA32CE" w:rsidRDefault="0035085D" w:rsidP="00AB4BB2">
            <w:pPr>
              <w:jc w:val="center"/>
              <w:rPr>
                <w:bCs/>
                <w:i/>
              </w:rPr>
            </w:pPr>
            <w:r w:rsidRPr="00DA32CE">
              <w:rPr>
                <w:bCs/>
              </w:rPr>
              <w:t>Source</w:t>
            </w:r>
          </w:p>
        </w:tc>
      </w:tr>
    </w:tbl>
    <w:p w14:paraId="3574F42B" w14:textId="77777777" w:rsidR="0035085D" w:rsidRDefault="0035085D" w:rsidP="0035085D">
      <w:pPr>
        <w:jc w:val="both"/>
        <w:rPr>
          <w:rStyle w:val="Accentuationlgre"/>
          <w:sz w:val="22"/>
        </w:rPr>
      </w:pPr>
    </w:p>
    <w:p w14:paraId="62C7DDC6" w14:textId="77777777" w:rsidR="0035085D" w:rsidRDefault="0035085D" w:rsidP="0035085D">
      <w:pPr>
        <w:spacing w:after="120"/>
        <w:rPr>
          <w:b/>
          <w:sz w:val="24"/>
        </w:rPr>
      </w:pPr>
      <w:r w:rsidRPr="004126F9">
        <w:rPr>
          <w:b/>
          <w:sz w:val="24"/>
        </w:rPr>
        <w:t>Travail à faire</w:t>
      </w:r>
    </w:p>
    <w:p w14:paraId="2893F210" w14:textId="77777777" w:rsidR="0035085D" w:rsidRPr="004126F9" w:rsidRDefault="0035085D" w:rsidP="0035085D">
      <w:pPr>
        <w:spacing w:after="120"/>
        <w:rPr>
          <w:rFonts w:cs="Arial"/>
        </w:rPr>
      </w:pPr>
      <w:r>
        <w:rPr>
          <w:rFonts w:cs="Arial"/>
        </w:rPr>
        <w:t>Après avoir lu le document, r</w:t>
      </w:r>
      <w:r w:rsidRPr="004126F9">
        <w:rPr>
          <w:rFonts w:cs="Arial"/>
        </w:rPr>
        <w:t>épond</w:t>
      </w:r>
      <w:r>
        <w:rPr>
          <w:rFonts w:cs="Arial"/>
        </w:rPr>
        <w:t>ez</w:t>
      </w:r>
      <w:r w:rsidRPr="004126F9">
        <w:rPr>
          <w:rFonts w:cs="Arial"/>
        </w:rPr>
        <w:t xml:space="preserve"> aux questions suivantes</w:t>
      </w:r>
      <w:r>
        <w:rPr>
          <w:rFonts w:cs="Arial"/>
        </w:rPr>
        <w:t> :</w:t>
      </w:r>
    </w:p>
    <w:p w14:paraId="4EBA1053" w14:textId="77777777" w:rsidR="0035085D" w:rsidRDefault="0035085D" w:rsidP="0035085D">
      <w:pPr>
        <w:pStyle w:val="Paragraphedeliste"/>
        <w:numPr>
          <w:ilvl w:val="0"/>
          <w:numId w:val="6"/>
        </w:numPr>
        <w:tabs>
          <w:tab w:val="left" w:pos="1809"/>
        </w:tabs>
        <w:spacing w:line="276" w:lineRule="auto"/>
        <w:rPr>
          <w:rFonts w:cs="Arial"/>
          <w:bCs/>
        </w:rPr>
      </w:pPr>
      <w:r w:rsidRPr="00DA32CE">
        <w:rPr>
          <w:rFonts w:cs="Arial"/>
          <w:bCs/>
        </w:rPr>
        <w:t>Que</w:t>
      </w:r>
      <w:r>
        <w:rPr>
          <w:rFonts w:cs="Arial"/>
          <w:bCs/>
        </w:rPr>
        <w:t>ls sont les reproches fait à la directrice de l’Ehpad ?</w:t>
      </w:r>
    </w:p>
    <w:p w14:paraId="5311290D" w14:textId="77777777" w:rsidR="0035085D" w:rsidRDefault="0035085D" w:rsidP="0035085D">
      <w:pPr>
        <w:pStyle w:val="Paragraphedeliste"/>
        <w:numPr>
          <w:ilvl w:val="0"/>
          <w:numId w:val="6"/>
        </w:numPr>
        <w:tabs>
          <w:tab w:val="left" w:pos="1809"/>
        </w:tabs>
        <w:spacing w:line="276" w:lineRule="auto"/>
        <w:rPr>
          <w:rFonts w:cs="Arial"/>
          <w:bCs/>
        </w:rPr>
      </w:pPr>
      <w:r>
        <w:rPr>
          <w:rFonts w:cs="Arial"/>
          <w:bCs/>
        </w:rPr>
        <w:t>Pourquoi le 2</w:t>
      </w:r>
      <w:r w:rsidRPr="005B546F">
        <w:rPr>
          <w:rFonts w:cs="Arial"/>
          <w:bCs/>
          <w:vertAlign w:val="superscript"/>
        </w:rPr>
        <w:t>e</w:t>
      </w:r>
      <w:r>
        <w:rPr>
          <w:rFonts w:cs="Arial"/>
          <w:bCs/>
        </w:rPr>
        <w:t xml:space="preserve"> appel d’offres du 18 juin 2010 est sanctionné par la CDBF ? </w:t>
      </w:r>
    </w:p>
    <w:p w14:paraId="5460BCF3" w14:textId="77777777" w:rsidR="0035085D" w:rsidRDefault="0035085D" w:rsidP="0035085D">
      <w:pPr>
        <w:pStyle w:val="Paragraphedeliste"/>
        <w:numPr>
          <w:ilvl w:val="0"/>
          <w:numId w:val="6"/>
        </w:numPr>
        <w:tabs>
          <w:tab w:val="left" w:pos="1809"/>
        </w:tabs>
        <w:spacing w:line="276" w:lineRule="auto"/>
        <w:rPr>
          <w:rFonts w:cs="Arial"/>
          <w:bCs/>
        </w:rPr>
      </w:pPr>
      <w:r>
        <w:rPr>
          <w:rFonts w:cs="Arial"/>
          <w:bCs/>
        </w:rPr>
        <w:t>Quelles sont les autres fautes commises par la dirigeante ?</w:t>
      </w:r>
    </w:p>
    <w:p w14:paraId="1E3D9F54" w14:textId="77777777" w:rsidR="0035085D" w:rsidRDefault="0035085D" w:rsidP="0035085D">
      <w:pPr>
        <w:pStyle w:val="Paragraphedeliste"/>
        <w:numPr>
          <w:ilvl w:val="0"/>
          <w:numId w:val="6"/>
        </w:numPr>
        <w:tabs>
          <w:tab w:val="left" w:pos="1809"/>
        </w:tabs>
        <w:spacing w:line="276" w:lineRule="auto"/>
        <w:rPr>
          <w:rFonts w:cs="Arial"/>
          <w:bCs/>
        </w:rPr>
      </w:pPr>
      <w:r>
        <w:rPr>
          <w:rFonts w:cs="Arial"/>
          <w:bCs/>
        </w:rPr>
        <w:t>Quelle est la sanction prononcée et pourquoi est-elle limitée ?</w:t>
      </w:r>
    </w:p>
    <w:p w14:paraId="3D162651" w14:textId="77777777" w:rsidR="0035085D" w:rsidRDefault="0035085D" w:rsidP="0035085D">
      <w:pPr>
        <w:jc w:val="both"/>
        <w:rPr>
          <w:rStyle w:val="Accentuationlgre"/>
          <w:sz w:val="22"/>
        </w:rPr>
      </w:pPr>
    </w:p>
    <w:p w14:paraId="15C8D23C" w14:textId="77777777" w:rsidR="0035085D" w:rsidRPr="007229E3" w:rsidRDefault="0035085D" w:rsidP="0035085D">
      <w:pPr>
        <w:rPr>
          <w:b/>
          <w:bCs/>
          <w:sz w:val="24"/>
          <w:szCs w:val="24"/>
          <w:lang w:eastAsia="fr-FR"/>
        </w:rPr>
      </w:pPr>
      <w:r w:rsidRPr="007229E3">
        <w:rPr>
          <w:rFonts w:cs="Arial"/>
          <w:b/>
          <w:bCs/>
          <w:color w:val="FFFFFF" w:themeColor="background1"/>
          <w:sz w:val="24"/>
          <w:szCs w:val="24"/>
          <w:highlight w:val="red"/>
        </w:rPr>
        <w:t>Doc.</w:t>
      </w:r>
      <w:r w:rsidRPr="007229E3">
        <w:rPr>
          <w:rFonts w:cs="Arial"/>
          <w:b/>
          <w:bCs/>
          <w:color w:val="FFFFFF" w:themeColor="background1"/>
          <w:sz w:val="24"/>
          <w:szCs w:val="24"/>
        </w:rPr>
        <w:t xml:space="preserve"> </w:t>
      </w:r>
      <w:r w:rsidRPr="007229E3">
        <w:rPr>
          <w:b/>
          <w:bCs/>
          <w:color w:val="FFFFFF" w:themeColor="background1"/>
          <w:sz w:val="24"/>
          <w:szCs w:val="24"/>
        </w:rPr>
        <w:t xml:space="preserve"> </w:t>
      </w:r>
      <w:r w:rsidRPr="00F31CF0">
        <w:rPr>
          <w:rFonts w:cs="Arial"/>
          <w:b/>
          <w:bCs/>
          <w:color w:val="1A171B"/>
          <w:szCs w:val="20"/>
        </w:rPr>
        <w:t>Le non-respect du code des marchés publics peut vous coûter cher !</w:t>
      </w:r>
    </w:p>
    <w:p w14:paraId="54361559" w14:textId="77777777" w:rsidR="0035085D" w:rsidRPr="005B546F" w:rsidRDefault="0035085D" w:rsidP="0035085D">
      <w:pPr>
        <w:shd w:val="clear" w:color="auto" w:fill="FFFFFF"/>
        <w:spacing w:before="120" w:after="120"/>
        <w:rPr>
          <w:rFonts w:cs="Arial"/>
          <w:i/>
          <w:iCs/>
          <w:color w:val="232323"/>
          <w:sz w:val="16"/>
          <w:szCs w:val="16"/>
        </w:rPr>
      </w:pPr>
      <w:r w:rsidRPr="005B546F">
        <w:rPr>
          <w:i/>
          <w:iCs/>
          <w:sz w:val="16"/>
          <w:szCs w:val="18"/>
        </w:rPr>
        <w:t xml:space="preserve">Source : htps://www.direction.fr | </w:t>
      </w:r>
      <w:r w:rsidRPr="005B546F">
        <w:rPr>
          <w:rFonts w:cs="Arial"/>
          <w:i/>
          <w:iCs/>
          <w:color w:val="232323"/>
          <w:sz w:val="16"/>
          <w:szCs w:val="16"/>
        </w:rPr>
        <w:t>S</w:t>
      </w:r>
      <w:r>
        <w:rPr>
          <w:rFonts w:cs="Arial"/>
          <w:i/>
          <w:iCs/>
          <w:color w:val="232323"/>
          <w:sz w:val="16"/>
          <w:szCs w:val="16"/>
        </w:rPr>
        <w:t>.</w:t>
      </w:r>
      <w:r w:rsidRPr="005B546F">
        <w:rPr>
          <w:rFonts w:cs="Arial"/>
          <w:i/>
          <w:iCs/>
          <w:color w:val="232323"/>
          <w:sz w:val="16"/>
          <w:szCs w:val="16"/>
        </w:rPr>
        <w:t xml:space="preserve"> Chassat-Philippe | </w:t>
      </w:r>
      <w:r w:rsidRPr="005B546F">
        <w:rPr>
          <w:rStyle w:val="Date1"/>
          <w:rFonts w:cs="Arial"/>
          <w:i/>
          <w:iCs/>
          <w:color w:val="232323"/>
          <w:sz w:val="16"/>
          <w:szCs w:val="16"/>
        </w:rPr>
        <w:t xml:space="preserve">11/07/2016 | </w:t>
      </w:r>
      <w:r w:rsidRPr="005B546F">
        <w:rPr>
          <w:rFonts w:cs="Arial"/>
          <w:i/>
          <w:iCs/>
          <w:color w:val="232323"/>
          <w:sz w:val="16"/>
          <w:szCs w:val="16"/>
        </w:rPr>
        <w:t>arrêt du 14 juin 2016 de la Cour de discipline budgétaire et financière.</w:t>
      </w:r>
    </w:p>
    <w:p w14:paraId="39DDD119" w14:textId="77777777" w:rsidR="0035085D" w:rsidRPr="005B546F" w:rsidRDefault="0035085D" w:rsidP="0035085D">
      <w:pPr>
        <w:pStyle w:val="Titre2"/>
        <w:shd w:val="clear" w:color="auto" w:fill="FFFFFF"/>
        <w:spacing w:before="120" w:after="0"/>
        <w:jc w:val="both"/>
        <w:rPr>
          <w:rFonts w:ascii="Arial" w:hAnsi="Arial"/>
          <w:color w:val="1A171B"/>
          <w:sz w:val="18"/>
          <w:szCs w:val="18"/>
        </w:rPr>
      </w:pPr>
      <w:r w:rsidRPr="005B546F">
        <w:rPr>
          <w:rFonts w:ascii="Arial" w:hAnsi="Arial"/>
          <w:color w:val="1A171B"/>
          <w:sz w:val="18"/>
          <w:szCs w:val="18"/>
        </w:rPr>
        <w:t>Une directrice d'Ehpad public communal a été condamnée à une amende de 1 500 € pour avoir passé diverses commandes - dont un marché de travaux de mise aux normes des bâtiments - sans respecter les règles de mise en concurrence et de publicité qui s'imposent en principe à tout acheteur public.</w:t>
      </w:r>
    </w:p>
    <w:p w14:paraId="0DAB76CA" w14:textId="77777777" w:rsidR="0035085D" w:rsidRPr="005B546F" w:rsidRDefault="0035085D" w:rsidP="0035085D">
      <w:pPr>
        <w:pStyle w:val="NormalWeb"/>
        <w:shd w:val="clear" w:color="auto" w:fill="FFFFFF"/>
        <w:spacing w:before="120" w:beforeAutospacing="0" w:after="0" w:afterAutospacing="0"/>
        <w:jc w:val="both"/>
        <w:rPr>
          <w:rFonts w:ascii="Arial" w:hAnsi="Arial" w:cs="Arial"/>
          <w:color w:val="232323"/>
          <w:sz w:val="18"/>
          <w:szCs w:val="18"/>
        </w:rPr>
      </w:pPr>
      <w:r w:rsidRPr="005B546F">
        <w:rPr>
          <w:rFonts w:ascii="Arial" w:hAnsi="Arial" w:cs="Arial"/>
          <w:color w:val="232323"/>
          <w:sz w:val="18"/>
          <w:szCs w:val="18"/>
        </w:rPr>
        <w:t>Dans un arrêt du 14 juin 2016</w:t>
      </w:r>
      <w:r>
        <w:rPr>
          <w:rFonts w:ascii="Arial" w:hAnsi="Arial" w:cs="Arial"/>
          <w:color w:val="232323"/>
          <w:sz w:val="18"/>
          <w:szCs w:val="18"/>
        </w:rPr>
        <w:t xml:space="preserve"> </w:t>
      </w:r>
      <w:r w:rsidRPr="005B546F">
        <w:rPr>
          <w:rFonts w:ascii="Arial" w:hAnsi="Arial" w:cs="Arial"/>
          <w:color w:val="232323"/>
          <w:sz w:val="18"/>
          <w:szCs w:val="18"/>
        </w:rPr>
        <w:t>la Cour de discipline budgétaire et financière (CDBF) sanctionne une directrice d'établissement d'hébergement pour personnes âgées dépendantes (Ehpad) public communal pour </w:t>
      </w:r>
      <w:r w:rsidRPr="005B546F">
        <w:rPr>
          <w:rStyle w:val="lev"/>
          <w:rFonts w:ascii="Arial" w:hAnsi="Arial" w:cs="Arial"/>
          <w:color w:val="232323"/>
          <w:sz w:val="18"/>
          <w:szCs w:val="18"/>
        </w:rPr>
        <w:t>non-respect du code des marchés publics</w:t>
      </w:r>
      <w:r w:rsidRPr="005B546F">
        <w:rPr>
          <w:rFonts w:ascii="Arial" w:hAnsi="Arial" w:cs="Arial"/>
          <w:color w:val="232323"/>
          <w:sz w:val="18"/>
          <w:szCs w:val="18"/>
        </w:rPr>
        <w:t> durant les années 2008 à 2012. Elle a plus précisément condamné à une </w:t>
      </w:r>
      <w:r w:rsidRPr="005B546F">
        <w:rPr>
          <w:rStyle w:val="lev"/>
          <w:rFonts w:ascii="Arial" w:hAnsi="Arial" w:cs="Arial"/>
          <w:color w:val="232323"/>
          <w:sz w:val="18"/>
          <w:szCs w:val="18"/>
        </w:rPr>
        <w:t>amende de 1 500 €</w:t>
      </w:r>
      <w:r w:rsidRPr="005B546F">
        <w:rPr>
          <w:rFonts w:ascii="Arial" w:hAnsi="Arial" w:cs="Arial"/>
          <w:color w:val="232323"/>
          <w:sz w:val="18"/>
          <w:szCs w:val="18"/>
        </w:rPr>
        <w:t xml:space="preserve"> la directrice de l'Ehpad public de Durtal en fonction au moment des faits reprochés. </w:t>
      </w:r>
      <w:r>
        <w:rPr>
          <w:rFonts w:ascii="Arial" w:hAnsi="Arial" w:cs="Arial"/>
          <w:color w:val="232323"/>
          <w:sz w:val="18"/>
          <w:szCs w:val="18"/>
        </w:rPr>
        <w:t>[…]</w:t>
      </w:r>
      <w:r w:rsidRPr="005B546F">
        <w:rPr>
          <w:rFonts w:ascii="Arial" w:hAnsi="Arial" w:cs="Arial"/>
          <w:color w:val="232323"/>
          <w:sz w:val="18"/>
          <w:szCs w:val="18"/>
        </w:rPr>
        <w:t>.</w:t>
      </w:r>
    </w:p>
    <w:p w14:paraId="05F8DA89" w14:textId="77777777" w:rsidR="0035085D" w:rsidRPr="005B546F" w:rsidRDefault="0035085D" w:rsidP="0035085D">
      <w:pPr>
        <w:pStyle w:val="Titre3"/>
        <w:shd w:val="clear" w:color="auto" w:fill="FFFFFF"/>
        <w:spacing w:before="120" w:after="0"/>
        <w:jc w:val="both"/>
        <w:rPr>
          <w:color w:val="1A171B"/>
          <w:sz w:val="20"/>
        </w:rPr>
      </w:pPr>
      <w:r w:rsidRPr="005B546F">
        <w:rPr>
          <w:color w:val="1A171B"/>
          <w:sz w:val="20"/>
        </w:rPr>
        <w:t>Remise en conformité des bâtiments</w:t>
      </w:r>
    </w:p>
    <w:p w14:paraId="36E46142" w14:textId="77777777" w:rsidR="0035085D" w:rsidRPr="005B546F" w:rsidRDefault="0035085D" w:rsidP="0035085D">
      <w:pPr>
        <w:pStyle w:val="NormalWeb"/>
        <w:shd w:val="clear" w:color="auto" w:fill="FFFFFF"/>
        <w:spacing w:before="120" w:beforeAutospacing="0" w:after="0" w:afterAutospacing="0"/>
        <w:jc w:val="both"/>
        <w:rPr>
          <w:rFonts w:ascii="Arial" w:hAnsi="Arial" w:cs="Arial"/>
          <w:color w:val="232323"/>
          <w:sz w:val="18"/>
          <w:szCs w:val="18"/>
        </w:rPr>
      </w:pPr>
      <w:r w:rsidRPr="005B546F">
        <w:rPr>
          <w:rFonts w:ascii="Arial" w:hAnsi="Arial" w:cs="Arial"/>
          <w:color w:val="232323"/>
          <w:sz w:val="18"/>
          <w:szCs w:val="18"/>
        </w:rPr>
        <w:t>Les développements les plus importants de l'arrêt du 14 juin visent la passation irrégulière d'un </w:t>
      </w:r>
      <w:r w:rsidRPr="005B546F">
        <w:rPr>
          <w:rStyle w:val="lev"/>
          <w:rFonts w:ascii="Arial" w:hAnsi="Arial" w:cs="Arial"/>
          <w:color w:val="232323"/>
          <w:sz w:val="18"/>
          <w:szCs w:val="18"/>
        </w:rPr>
        <w:t>marché de travaux de mise aux normes des bâtiments</w:t>
      </w:r>
      <w:r w:rsidRPr="005B546F">
        <w:rPr>
          <w:rFonts w:ascii="Arial" w:hAnsi="Arial" w:cs="Arial"/>
          <w:color w:val="232323"/>
          <w:sz w:val="18"/>
          <w:szCs w:val="18"/>
        </w:rPr>
        <w:t>.</w:t>
      </w:r>
    </w:p>
    <w:p w14:paraId="7273F03F" w14:textId="77777777" w:rsidR="0035085D" w:rsidRPr="005B546F" w:rsidRDefault="0035085D" w:rsidP="0035085D">
      <w:pPr>
        <w:pStyle w:val="NormalWeb"/>
        <w:shd w:val="clear" w:color="auto" w:fill="FFFFFF"/>
        <w:spacing w:before="120" w:beforeAutospacing="0" w:after="0" w:afterAutospacing="0"/>
        <w:jc w:val="both"/>
        <w:rPr>
          <w:rFonts w:ascii="Arial" w:hAnsi="Arial" w:cs="Arial"/>
          <w:color w:val="232323"/>
          <w:sz w:val="18"/>
          <w:szCs w:val="18"/>
        </w:rPr>
      </w:pPr>
      <w:r w:rsidRPr="005B546F">
        <w:rPr>
          <w:rFonts w:ascii="Arial" w:hAnsi="Arial" w:cs="Arial"/>
          <w:color w:val="232323"/>
          <w:sz w:val="18"/>
          <w:szCs w:val="18"/>
        </w:rPr>
        <w:t>Dans un premier temps, la directrice a conclu un contrat en juin 2008 avec une société chargée de réaliser une expertise complète et d'élaborer le programme technique détaillé de ces travaux. Mais cette société n'a pas pu exécuter le marché de prestations dans sa totalité (elle a été mise en liquidation judiciaire en juin 2010 indique le rapport de la CRC). La directrice de l'Ehpad a par la suite procédé au lancement d’une nouvelle opération par </w:t>
      </w:r>
      <w:r w:rsidRPr="005B546F">
        <w:rPr>
          <w:rStyle w:val="lev"/>
          <w:rFonts w:ascii="Arial" w:hAnsi="Arial" w:cs="Arial"/>
          <w:color w:val="232323"/>
          <w:sz w:val="18"/>
          <w:szCs w:val="18"/>
        </w:rPr>
        <w:t>avis d’appel public à concurrence</w:t>
      </w:r>
      <w:r w:rsidRPr="005B546F">
        <w:rPr>
          <w:rFonts w:ascii="Arial" w:hAnsi="Arial" w:cs="Arial"/>
          <w:color w:val="232323"/>
          <w:sz w:val="18"/>
          <w:szCs w:val="18"/>
        </w:rPr>
        <w:t> publié au Bulletin officiel d'annonces des marchés publics le 18 juin 2010 puis au Courrier de l’Ouest le 1</w:t>
      </w:r>
      <w:r w:rsidRPr="005B546F">
        <w:rPr>
          <w:rFonts w:ascii="Arial" w:hAnsi="Arial" w:cs="Arial"/>
          <w:color w:val="232323"/>
          <w:sz w:val="18"/>
          <w:szCs w:val="18"/>
          <w:vertAlign w:val="superscript"/>
        </w:rPr>
        <w:t>er</w:t>
      </w:r>
      <w:r w:rsidRPr="005B546F">
        <w:rPr>
          <w:rFonts w:ascii="Arial" w:hAnsi="Arial" w:cs="Arial"/>
          <w:color w:val="232323"/>
          <w:sz w:val="18"/>
          <w:szCs w:val="18"/>
        </w:rPr>
        <w:t> juillet 2010. Ces avis fixaient la date limite de dépôt des candidatures au 5 juillet 2010 à minuit. Or, pour la CDBF, malgré l'urgence de la situation, </w:t>
      </w:r>
      <w:r w:rsidRPr="005B546F">
        <w:rPr>
          <w:rStyle w:val="lev"/>
          <w:rFonts w:ascii="Arial" w:hAnsi="Arial" w:cs="Arial"/>
          <w:color w:val="232323"/>
          <w:sz w:val="18"/>
          <w:szCs w:val="18"/>
        </w:rPr>
        <w:t>ce délai de réponse de 18 jours </w:t>
      </w:r>
      <w:r w:rsidRPr="005B546F">
        <w:rPr>
          <w:rFonts w:ascii="Arial" w:hAnsi="Arial" w:cs="Arial"/>
          <w:color w:val="232323"/>
          <w:sz w:val="18"/>
          <w:szCs w:val="18"/>
        </w:rPr>
        <w:t>s'avère :</w:t>
      </w:r>
    </w:p>
    <w:p w14:paraId="64D4A7D5" w14:textId="77777777" w:rsidR="0035085D" w:rsidRPr="005B546F" w:rsidRDefault="0035085D" w:rsidP="0035085D">
      <w:pPr>
        <w:numPr>
          <w:ilvl w:val="0"/>
          <w:numId w:val="2"/>
        </w:numPr>
        <w:shd w:val="clear" w:color="auto" w:fill="FFFFFF"/>
        <w:tabs>
          <w:tab w:val="clear" w:pos="720"/>
          <w:tab w:val="num" w:pos="135"/>
        </w:tabs>
        <w:ind w:left="360"/>
        <w:jc w:val="both"/>
        <w:rPr>
          <w:rFonts w:cs="Arial"/>
          <w:color w:val="232323"/>
          <w:sz w:val="18"/>
          <w:szCs w:val="18"/>
        </w:rPr>
      </w:pPr>
      <w:r w:rsidRPr="005B546F">
        <w:rPr>
          <w:rStyle w:val="lev"/>
          <w:rFonts w:cs="Arial"/>
          <w:color w:val="232323"/>
          <w:sz w:val="18"/>
          <w:szCs w:val="18"/>
        </w:rPr>
        <w:t>insuffisant</w:t>
      </w:r>
      <w:r w:rsidRPr="005B546F">
        <w:rPr>
          <w:rFonts w:cs="Arial"/>
          <w:color w:val="232323"/>
          <w:sz w:val="18"/>
          <w:szCs w:val="18"/>
        </w:rPr>
        <w:t> au regard des "caractéristiques du marché en cause" ;</w:t>
      </w:r>
    </w:p>
    <w:p w14:paraId="4D377576" w14:textId="77777777" w:rsidR="0035085D" w:rsidRPr="005B546F" w:rsidRDefault="0035085D" w:rsidP="0035085D">
      <w:pPr>
        <w:numPr>
          <w:ilvl w:val="0"/>
          <w:numId w:val="3"/>
        </w:numPr>
        <w:shd w:val="clear" w:color="auto" w:fill="FFFFFF"/>
        <w:tabs>
          <w:tab w:val="clear" w:pos="720"/>
          <w:tab w:val="num" w:pos="135"/>
        </w:tabs>
        <w:ind w:left="142" w:hanging="142"/>
        <w:jc w:val="both"/>
        <w:rPr>
          <w:rFonts w:cs="Arial"/>
          <w:color w:val="232323"/>
          <w:sz w:val="18"/>
          <w:szCs w:val="18"/>
        </w:rPr>
      </w:pPr>
      <w:r w:rsidRPr="005B546F">
        <w:rPr>
          <w:rFonts w:cs="Arial"/>
          <w:color w:val="232323"/>
          <w:sz w:val="18"/>
          <w:szCs w:val="18"/>
        </w:rPr>
        <w:t>et "n'a pas permis de respecter les </w:t>
      </w:r>
      <w:r w:rsidRPr="005B546F">
        <w:rPr>
          <w:rStyle w:val="lev"/>
          <w:rFonts w:cs="Arial"/>
          <w:color w:val="232323"/>
          <w:sz w:val="18"/>
          <w:szCs w:val="18"/>
        </w:rPr>
        <w:t>principes de transparence de la commande publique et d’égalité de traitement des candidats</w:t>
      </w:r>
      <w:r w:rsidRPr="005B546F">
        <w:rPr>
          <w:rFonts w:cs="Arial"/>
          <w:color w:val="232323"/>
          <w:sz w:val="18"/>
          <w:szCs w:val="18"/>
        </w:rPr>
        <w:t>".</w:t>
      </w:r>
    </w:p>
    <w:p w14:paraId="63A21CF6" w14:textId="77777777" w:rsidR="0035085D" w:rsidRPr="005B546F" w:rsidRDefault="0035085D" w:rsidP="0035085D">
      <w:pPr>
        <w:pStyle w:val="NormalWeb"/>
        <w:shd w:val="clear" w:color="auto" w:fill="FFFFFF"/>
        <w:spacing w:before="120" w:beforeAutospacing="0" w:after="0" w:afterAutospacing="0"/>
        <w:jc w:val="both"/>
        <w:rPr>
          <w:rFonts w:ascii="Arial" w:hAnsi="Arial" w:cs="Arial"/>
          <w:color w:val="232323"/>
          <w:sz w:val="18"/>
          <w:szCs w:val="18"/>
        </w:rPr>
      </w:pPr>
      <w:r w:rsidRPr="005B546F">
        <w:rPr>
          <w:rFonts w:ascii="Arial" w:hAnsi="Arial" w:cs="Arial"/>
          <w:color w:val="232323"/>
          <w:sz w:val="18"/>
          <w:szCs w:val="18"/>
        </w:rPr>
        <w:t>Le comble est que, faute de réponses en nombre suffisant, un "nouveau marché" (le périmètre de l'opération a été redéfini de manière substantielle) a été confié finalement à une société "sans nouvelle procédure de publicité et de mise en concurrence"</w:t>
      </w:r>
    </w:p>
    <w:p w14:paraId="5D3DF530" w14:textId="77777777" w:rsidR="0035085D" w:rsidRPr="005B546F" w:rsidRDefault="0035085D" w:rsidP="0035085D">
      <w:pPr>
        <w:pStyle w:val="Titre3"/>
        <w:numPr>
          <w:ilvl w:val="0"/>
          <w:numId w:val="0"/>
        </w:numPr>
        <w:shd w:val="clear" w:color="auto" w:fill="FFFFFF"/>
        <w:spacing w:before="120"/>
        <w:ind w:left="360" w:hanging="360"/>
        <w:jc w:val="both"/>
        <w:rPr>
          <w:color w:val="1A171B"/>
          <w:sz w:val="18"/>
          <w:szCs w:val="18"/>
        </w:rPr>
      </w:pPr>
      <w:r w:rsidRPr="005B546F">
        <w:rPr>
          <w:color w:val="1A171B"/>
          <w:sz w:val="18"/>
          <w:szCs w:val="18"/>
        </w:rPr>
        <w:t>Autres commandes irrégulières</w:t>
      </w:r>
    </w:p>
    <w:p w14:paraId="2CF41AE4" w14:textId="77777777" w:rsidR="0035085D" w:rsidRPr="005B546F" w:rsidRDefault="0035085D" w:rsidP="0035085D">
      <w:pPr>
        <w:pStyle w:val="NormalWeb"/>
        <w:shd w:val="clear" w:color="auto" w:fill="FFFFFF"/>
        <w:spacing w:before="0" w:beforeAutospacing="0" w:after="0" w:afterAutospacing="0"/>
        <w:jc w:val="both"/>
        <w:rPr>
          <w:rFonts w:ascii="Arial" w:hAnsi="Arial" w:cs="Arial"/>
          <w:color w:val="232323"/>
          <w:sz w:val="18"/>
          <w:szCs w:val="18"/>
        </w:rPr>
      </w:pPr>
      <w:r w:rsidRPr="005B546F">
        <w:rPr>
          <w:rFonts w:ascii="Arial" w:hAnsi="Arial" w:cs="Arial"/>
          <w:color w:val="232323"/>
          <w:sz w:val="18"/>
          <w:szCs w:val="18"/>
        </w:rPr>
        <w:t>La responsabilité de la directrice a aussi été engagée pour d'autres commandes de prestations passées sans publicité ni mise en concurrence :</w:t>
      </w:r>
    </w:p>
    <w:p w14:paraId="2BB8583F" w14:textId="77777777" w:rsidR="0035085D" w:rsidRPr="005B546F" w:rsidRDefault="0035085D" w:rsidP="0035085D">
      <w:pPr>
        <w:numPr>
          <w:ilvl w:val="0"/>
          <w:numId w:val="4"/>
        </w:numPr>
        <w:shd w:val="clear" w:color="auto" w:fill="FFFFFF"/>
        <w:ind w:left="284" w:hanging="284"/>
        <w:jc w:val="both"/>
        <w:rPr>
          <w:rFonts w:cs="Arial"/>
          <w:color w:val="232323"/>
          <w:sz w:val="18"/>
          <w:szCs w:val="18"/>
        </w:rPr>
      </w:pPr>
      <w:r w:rsidRPr="005B546F">
        <w:rPr>
          <w:rStyle w:val="lev"/>
          <w:rFonts w:cs="Arial"/>
          <w:color w:val="232323"/>
          <w:sz w:val="18"/>
          <w:szCs w:val="18"/>
        </w:rPr>
        <w:t>recours à une entreprise de travail intérimaire</w:t>
      </w:r>
      <w:r w:rsidRPr="005B546F">
        <w:rPr>
          <w:rFonts w:cs="Arial"/>
          <w:color w:val="232323"/>
          <w:sz w:val="18"/>
          <w:szCs w:val="18"/>
        </w:rPr>
        <w:t> (conclusions de deux contrats dont l'un était "informel", la directrice ayant validé la proposition de la société d'intérim qui n'avait pas chiffré le coût des prestations, ultérieurement facturé) ;</w:t>
      </w:r>
    </w:p>
    <w:p w14:paraId="5A1E444C" w14:textId="77777777" w:rsidR="0035085D" w:rsidRPr="005B546F" w:rsidRDefault="0035085D" w:rsidP="0035085D">
      <w:pPr>
        <w:numPr>
          <w:ilvl w:val="0"/>
          <w:numId w:val="4"/>
        </w:numPr>
        <w:shd w:val="clear" w:color="auto" w:fill="FFFFFF"/>
        <w:ind w:left="284" w:hanging="284"/>
        <w:jc w:val="both"/>
        <w:rPr>
          <w:rFonts w:cs="Arial"/>
          <w:color w:val="232323"/>
          <w:sz w:val="18"/>
          <w:szCs w:val="18"/>
        </w:rPr>
      </w:pPr>
      <w:r w:rsidRPr="005B546F">
        <w:rPr>
          <w:rStyle w:val="lev"/>
          <w:rFonts w:cs="Arial"/>
          <w:color w:val="232323"/>
          <w:sz w:val="18"/>
          <w:szCs w:val="18"/>
        </w:rPr>
        <w:t>construction d'une pergola</w:t>
      </w:r>
      <w:r w:rsidRPr="005B546F">
        <w:rPr>
          <w:rFonts w:cs="Arial"/>
          <w:color w:val="232323"/>
          <w:sz w:val="18"/>
          <w:szCs w:val="18"/>
        </w:rPr>
        <w:t> qui était installée au moment où la directrice procédait à la consultation de deux autres fournisseurs potentiels ("vraisemblablement pour respecter a posteriori une forme apparente de concurrence" avait souligné la CRC) ;</w:t>
      </w:r>
    </w:p>
    <w:p w14:paraId="562F0886" w14:textId="77777777" w:rsidR="0035085D" w:rsidRPr="005B546F" w:rsidRDefault="0035085D" w:rsidP="0035085D">
      <w:pPr>
        <w:numPr>
          <w:ilvl w:val="0"/>
          <w:numId w:val="4"/>
        </w:numPr>
        <w:shd w:val="clear" w:color="auto" w:fill="FFFFFF"/>
        <w:ind w:left="284" w:hanging="284"/>
        <w:jc w:val="both"/>
        <w:rPr>
          <w:rFonts w:cs="Arial"/>
          <w:color w:val="232323"/>
          <w:sz w:val="18"/>
          <w:szCs w:val="18"/>
        </w:rPr>
      </w:pPr>
      <w:r w:rsidRPr="005B546F">
        <w:rPr>
          <w:rStyle w:val="lev"/>
          <w:rFonts w:cs="Arial"/>
          <w:color w:val="232323"/>
          <w:sz w:val="18"/>
          <w:szCs w:val="18"/>
        </w:rPr>
        <w:t>achat de 65 téléviseurs</w:t>
      </w:r>
      <w:r w:rsidRPr="005B546F">
        <w:rPr>
          <w:rFonts w:cs="Arial"/>
          <w:color w:val="232323"/>
          <w:sz w:val="18"/>
          <w:szCs w:val="18"/>
        </w:rPr>
        <w:t> (au demeurant aux caractéristiques inadaptées aux résidents, selon la CRC) ;</w:t>
      </w:r>
    </w:p>
    <w:p w14:paraId="6566F29D" w14:textId="77777777" w:rsidR="0035085D" w:rsidRPr="005B546F" w:rsidRDefault="0035085D" w:rsidP="0035085D">
      <w:pPr>
        <w:numPr>
          <w:ilvl w:val="0"/>
          <w:numId w:val="4"/>
        </w:numPr>
        <w:shd w:val="clear" w:color="auto" w:fill="FFFFFF"/>
        <w:ind w:left="284" w:hanging="284"/>
        <w:jc w:val="both"/>
        <w:rPr>
          <w:rFonts w:cs="Arial"/>
          <w:color w:val="232323"/>
          <w:sz w:val="18"/>
          <w:szCs w:val="18"/>
        </w:rPr>
      </w:pPr>
      <w:r w:rsidRPr="005B546F">
        <w:rPr>
          <w:rFonts w:cs="Arial"/>
          <w:color w:val="232323"/>
          <w:sz w:val="18"/>
          <w:szCs w:val="18"/>
        </w:rPr>
        <w:t>travaux de </w:t>
      </w:r>
      <w:r w:rsidRPr="005B546F">
        <w:rPr>
          <w:rStyle w:val="lev"/>
          <w:rFonts w:cs="Arial"/>
          <w:color w:val="232323"/>
          <w:sz w:val="18"/>
          <w:szCs w:val="18"/>
        </w:rPr>
        <w:t>maintenance sur le groupe électrogène</w:t>
      </w:r>
      <w:r w:rsidRPr="005B546F">
        <w:rPr>
          <w:rFonts w:cs="Arial"/>
          <w:color w:val="232323"/>
          <w:sz w:val="18"/>
          <w:szCs w:val="18"/>
        </w:rPr>
        <w:t>.</w:t>
      </w:r>
    </w:p>
    <w:p w14:paraId="39766D7E" w14:textId="77777777" w:rsidR="0035085D" w:rsidRPr="005B546F" w:rsidRDefault="0035085D" w:rsidP="0035085D">
      <w:pPr>
        <w:pStyle w:val="NormalWeb"/>
        <w:shd w:val="clear" w:color="auto" w:fill="FFFFFF"/>
        <w:spacing w:before="0" w:beforeAutospacing="0" w:after="0" w:afterAutospacing="0"/>
        <w:jc w:val="both"/>
        <w:rPr>
          <w:rFonts w:ascii="Arial" w:hAnsi="Arial" w:cs="Arial"/>
          <w:color w:val="232323"/>
          <w:sz w:val="18"/>
          <w:szCs w:val="18"/>
        </w:rPr>
      </w:pPr>
      <w:r w:rsidRPr="005B546F">
        <w:rPr>
          <w:rFonts w:ascii="Arial" w:hAnsi="Arial" w:cs="Arial"/>
          <w:color w:val="232323"/>
          <w:sz w:val="18"/>
          <w:szCs w:val="18"/>
        </w:rPr>
        <w:t>C'est bien cette "répétition de manquements caractérisés aux règles de la commande publique et la gravité des infractions commises dans l’attribution du marché de travaux de mise aux normes des bâtiments" qui ont conduit au prononcé de l'amende infligée à l'ancienne directrice de l'Ehpad de Durtal.</w:t>
      </w:r>
    </w:p>
    <w:p w14:paraId="0F53494D" w14:textId="77777777" w:rsidR="0035085D" w:rsidRPr="005B546F" w:rsidRDefault="0035085D" w:rsidP="0035085D">
      <w:pPr>
        <w:pStyle w:val="Titre3"/>
        <w:numPr>
          <w:ilvl w:val="0"/>
          <w:numId w:val="0"/>
        </w:numPr>
        <w:shd w:val="clear" w:color="auto" w:fill="FFFFFF"/>
        <w:spacing w:before="120"/>
        <w:ind w:left="360" w:hanging="360"/>
        <w:jc w:val="both"/>
        <w:rPr>
          <w:color w:val="1A171B"/>
          <w:sz w:val="18"/>
          <w:szCs w:val="18"/>
        </w:rPr>
      </w:pPr>
      <w:r w:rsidRPr="005B546F">
        <w:rPr>
          <w:color w:val="1A171B"/>
          <w:sz w:val="18"/>
          <w:szCs w:val="18"/>
        </w:rPr>
        <w:t>Montant limité de l'amende</w:t>
      </w:r>
    </w:p>
    <w:p w14:paraId="092FD03D" w14:textId="77777777" w:rsidR="0035085D" w:rsidRPr="005B546F" w:rsidRDefault="0035085D" w:rsidP="0035085D">
      <w:pPr>
        <w:pStyle w:val="NormalWeb"/>
        <w:shd w:val="clear" w:color="auto" w:fill="FFFFFF"/>
        <w:spacing w:before="0" w:beforeAutospacing="0" w:after="0" w:afterAutospacing="0"/>
        <w:jc w:val="both"/>
        <w:rPr>
          <w:rFonts w:ascii="Arial" w:hAnsi="Arial" w:cs="Arial"/>
          <w:color w:val="232323"/>
          <w:sz w:val="18"/>
          <w:szCs w:val="18"/>
        </w:rPr>
      </w:pPr>
      <w:r w:rsidRPr="005B546F">
        <w:rPr>
          <w:rFonts w:ascii="Arial" w:hAnsi="Arial" w:cs="Arial"/>
          <w:color w:val="232323"/>
          <w:sz w:val="18"/>
          <w:szCs w:val="18"/>
        </w:rPr>
        <w:t>Deux éléments sont pris en considération par la Cour de discipline budgétaire et financière pour limiter à 1 500 € le montant de cette amende :</w:t>
      </w:r>
    </w:p>
    <w:p w14:paraId="0A546FA8" w14:textId="77777777" w:rsidR="0035085D" w:rsidRPr="005B546F" w:rsidRDefault="0035085D" w:rsidP="0035085D">
      <w:pPr>
        <w:numPr>
          <w:ilvl w:val="0"/>
          <w:numId w:val="5"/>
        </w:numPr>
        <w:shd w:val="clear" w:color="auto" w:fill="FFFFFF"/>
        <w:ind w:left="284" w:hanging="284"/>
        <w:jc w:val="both"/>
        <w:rPr>
          <w:rFonts w:cs="Arial"/>
          <w:color w:val="232323"/>
          <w:sz w:val="18"/>
          <w:szCs w:val="18"/>
        </w:rPr>
      </w:pPr>
      <w:r w:rsidRPr="005B546F">
        <w:rPr>
          <w:rFonts w:cs="Arial"/>
          <w:color w:val="232323"/>
          <w:sz w:val="18"/>
          <w:szCs w:val="18"/>
        </w:rPr>
        <w:t>la directrice de l'Ehpad a pu "éprouver un </w:t>
      </w:r>
      <w:r w:rsidRPr="005B546F">
        <w:rPr>
          <w:rStyle w:val="lev"/>
          <w:rFonts w:cs="Arial"/>
          <w:color w:val="232323"/>
          <w:sz w:val="18"/>
          <w:szCs w:val="18"/>
        </w:rPr>
        <w:t>sentiment d’isolement dans l’exercice de ses fonctions</w:t>
      </w:r>
      <w:r w:rsidRPr="005B546F">
        <w:rPr>
          <w:rFonts w:cs="Arial"/>
          <w:color w:val="232323"/>
          <w:sz w:val="18"/>
          <w:szCs w:val="18"/>
        </w:rPr>
        <w:t>", caractérisé en particulier par l’absence de conseils et d’alertes donnés par les comptables publics successifs dans la passation des commandes publiques ;</w:t>
      </w:r>
    </w:p>
    <w:p w14:paraId="644C3C0C" w14:textId="77777777" w:rsidR="0035085D" w:rsidRDefault="0035085D" w:rsidP="0035085D">
      <w:pPr>
        <w:numPr>
          <w:ilvl w:val="0"/>
          <w:numId w:val="5"/>
        </w:numPr>
        <w:shd w:val="clear" w:color="auto" w:fill="FFFFFF"/>
        <w:ind w:left="284" w:hanging="284"/>
        <w:jc w:val="both"/>
        <w:rPr>
          <w:rFonts w:cs="Arial"/>
          <w:color w:val="232323"/>
          <w:sz w:val="18"/>
          <w:szCs w:val="18"/>
        </w:rPr>
      </w:pPr>
      <w:r w:rsidRPr="005B546F">
        <w:rPr>
          <w:rFonts w:cs="Arial"/>
          <w:color w:val="232323"/>
          <w:sz w:val="18"/>
          <w:szCs w:val="18"/>
        </w:rPr>
        <w:t>elle a fait </w:t>
      </w:r>
      <w:r w:rsidRPr="005B546F">
        <w:rPr>
          <w:rStyle w:val="lev"/>
          <w:rFonts w:cs="Arial"/>
          <w:color w:val="232323"/>
          <w:sz w:val="18"/>
          <w:szCs w:val="18"/>
        </w:rPr>
        <w:t>valider l’ensemble de ses décisions par le conseil d’administration</w:t>
      </w:r>
      <w:r w:rsidRPr="005B546F">
        <w:rPr>
          <w:rFonts w:cs="Arial"/>
          <w:color w:val="232323"/>
          <w:sz w:val="18"/>
          <w:szCs w:val="18"/>
        </w:rPr>
        <w:t> de l’établissement.</w:t>
      </w:r>
    </w:p>
    <w:p w14:paraId="5BA88527" w14:textId="77777777" w:rsidR="0035085D" w:rsidRDefault="0035085D" w:rsidP="0035085D">
      <w:pPr>
        <w:shd w:val="clear" w:color="auto" w:fill="FFFFFF"/>
        <w:jc w:val="both"/>
        <w:rPr>
          <w:rFonts w:cs="Arial"/>
          <w:color w:val="232323"/>
          <w:sz w:val="18"/>
          <w:szCs w:val="18"/>
        </w:rPr>
      </w:pPr>
    </w:p>
    <w:p w14:paraId="6B091F7A" w14:textId="77777777" w:rsidR="0035085D" w:rsidRDefault="0035085D" w:rsidP="0035085D">
      <w:pPr>
        <w:shd w:val="clear" w:color="auto" w:fill="FFFFFF"/>
        <w:jc w:val="both"/>
        <w:rPr>
          <w:rFonts w:cs="Arial"/>
          <w:color w:val="232323"/>
          <w:sz w:val="18"/>
          <w:szCs w:val="18"/>
        </w:rPr>
      </w:pPr>
    </w:p>
    <w:p w14:paraId="0D814F4A" w14:textId="1F83A954" w:rsidR="0035085D" w:rsidRDefault="0035085D"/>
    <w:p w14:paraId="1903B42A" w14:textId="3E236F06" w:rsidR="00970F81" w:rsidRDefault="00970F81"/>
    <w:p w14:paraId="706702C2" w14:textId="3AE1B48D" w:rsidR="00970F81" w:rsidRDefault="00970F81"/>
    <w:p w14:paraId="2C7E6692" w14:textId="665A835F" w:rsidR="00970F81" w:rsidRDefault="00970F81" w:rsidP="00970F81">
      <w:pPr>
        <w:spacing w:after="120"/>
        <w:rPr>
          <w:b/>
          <w:sz w:val="24"/>
        </w:rPr>
      </w:pPr>
      <w:r>
        <w:rPr>
          <w:b/>
          <w:sz w:val="24"/>
        </w:rPr>
        <w:lastRenderedPageBreak/>
        <w:t>Réponses</w:t>
      </w:r>
    </w:p>
    <w:p w14:paraId="0831B39A" w14:textId="77777777" w:rsidR="00970F81" w:rsidRPr="004126F9" w:rsidRDefault="00970F81" w:rsidP="00970F81">
      <w:pPr>
        <w:spacing w:after="120"/>
        <w:rPr>
          <w:rFonts w:cs="Arial"/>
        </w:rPr>
      </w:pPr>
      <w:r>
        <w:rPr>
          <w:rFonts w:cs="Arial"/>
        </w:rPr>
        <w:t>Après avoir lu le document, r</w:t>
      </w:r>
      <w:r w:rsidRPr="004126F9">
        <w:rPr>
          <w:rFonts w:cs="Arial"/>
        </w:rPr>
        <w:t>épond</w:t>
      </w:r>
      <w:r>
        <w:rPr>
          <w:rFonts w:cs="Arial"/>
        </w:rPr>
        <w:t>ez</w:t>
      </w:r>
      <w:r w:rsidRPr="004126F9">
        <w:rPr>
          <w:rFonts w:cs="Arial"/>
        </w:rPr>
        <w:t xml:space="preserve"> aux questions suivantes</w:t>
      </w:r>
      <w:r>
        <w:rPr>
          <w:rFonts w:cs="Arial"/>
        </w:rPr>
        <w:t> :</w:t>
      </w:r>
    </w:p>
    <w:p w14:paraId="75C3D623" w14:textId="68FDFE5C" w:rsidR="00970F81" w:rsidRPr="00970F81" w:rsidRDefault="00970F81" w:rsidP="00970F81">
      <w:pPr>
        <w:pStyle w:val="Paragraphedeliste"/>
        <w:numPr>
          <w:ilvl w:val="0"/>
          <w:numId w:val="7"/>
        </w:numPr>
        <w:tabs>
          <w:tab w:val="left" w:pos="1809"/>
        </w:tabs>
        <w:spacing w:line="276" w:lineRule="auto"/>
        <w:rPr>
          <w:rFonts w:cs="Arial"/>
          <w:b/>
        </w:rPr>
      </w:pPr>
      <w:r w:rsidRPr="00970F81">
        <w:rPr>
          <w:rFonts w:cs="Arial"/>
          <w:b/>
        </w:rPr>
        <w:t>Quels sont les reproches fait à la directrice de l’Ehpad ?</w:t>
      </w:r>
    </w:p>
    <w:p w14:paraId="7313FED6" w14:textId="2EB41B03" w:rsidR="00970F81" w:rsidRDefault="00970F81" w:rsidP="00970F81">
      <w:pPr>
        <w:tabs>
          <w:tab w:val="left" w:pos="1809"/>
        </w:tabs>
        <w:spacing w:line="276" w:lineRule="auto"/>
        <w:rPr>
          <w:rFonts w:cs="Arial"/>
          <w:bCs/>
        </w:rPr>
      </w:pPr>
    </w:p>
    <w:p w14:paraId="4E7D0C91" w14:textId="2E5805A5" w:rsidR="00970F81" w:rsidRDefault="00970F81" w:rsidP="00970F81">
      <w:pPr>
        <w:tabs>
          <w:tab w:val="left" w:pos="1809"/>
        </w:tabs>
        <w:spacing w:line="276" w:lineRule="auto"/>
        <w:rPr>
          <w:rFonts w:cs="Arial"/>
          <w:bCs/>
        </w:rPr>
      </w:pPr>
    </w:p>
    <w:p w14:paraId="01DD6529" w14:textId="257E7DAF" w:rsidR="00970F81" w:rsidRDefault="00970F81" w:rsidP="00970F81">
      <w:pPr>
        <w:tabs>
          <w:tab w:val="left" w:pos="1809"/>
        </w:tabs>
        <w:spacing w:line="276" w:lineRule="auto"/>
        <w:rPr>
          <w:rFonts w:cs="Arial"/>
          <w:bCs/>
        </w:rPr>
      </w:pPr>
    </w:p>
    <w:p w14:paraId="00A8675D" w14:textId="77777777" w:rsidR="00970F81" w:rsidRPr="00970F81" w:rsidRDefault="00970F81" w:rsidP="00970F81">
      <w:pPr>
        <w:tabs>
          <w:tab w:val="left" w:pos="1809"/>
        </w:tabs>
        <w:spacing w:line="276" w:lineRule="auto"/>
        <w:rPr>
          <w:rFonts w:cs="Arial"/>
          <w:bCs/>
        </w:rPr>
      </w:pPr>
    </w:p>
    <w:p w14:paraId="74FAE995" w14:textId="57921B86" w:rsidR="00970F81" w:rsidRPr="00970F81" w:rsidRDefault="00970F81" w:rsidP="00970F81">
      <w:pPr>
        <w:pStyle w:val="Paragraphedeliste"/>
        <w:numPr>
          <w:ilvl w:val="0"/>
          <w:numId w:val="7"/>
        </w:numPr>
        <w:tabs>
          <w:tab w:val="left" w:pos="1809"/>
        </w:tabs>
        <w:spacing w:line="276" w:lineRule="auto"/>
        <w:rPr>
          <w:rFonts w:cs="Arial"/>
          <w:b/>
        </w:rPr>
      </w:pPr>
      <w:r w:rsidRPr="00970F81">
        <w:rPr>
          <w:rFonts w:cs="Arial"/>
          <w:b/>
        </w:rPr>
        <w:t>Pourquoi le 2</w:t>
      </w:r>
      <w:r w:rsidRPr="00970F81">
        <w:rPr>
          <w:rFonts w:cs="Arial"/>
          <w:b/>
          <w:vertAlign w:val="superscript"/>
        </w:rPr>
        <w:t>e</w:t>
      </w:r>
      <w:r w:rsidRPr="00970F81">
        <w:rPr>
          <w:rFonts w:cs="Arial"/>
          <w:b/>
        </w:rPr>
        <w:t xml:space="preserve"> appel d’offres du 18 juin 2010 est sanctionné par la CDBF ? </w:t>
      </w:r>
    </w:p>
    <w:p w14:paraId="1B36BB20" w14:textId="22C6920E" w:rsidR="00970F81" w:rsidRDefault="00970F81" w:rsidP="00970F81">
      <w:pPr>
        <w:tabs>
          <w:tab w:val="left" w:pos="1809"/>
        </w:tabs>
        <w:spacing w:line="276" w:lineRule="auto"/>
        <w:rPr>
          <w:rFonts w:cs="Arial"/>
          <w:bCs/>
        </w:rPr>
      </w:pPr>
    </w:p>
    <w:p w14:paraId="36DDDE48" w14:textId="78A536A9" w:rsidR="00970F81" w:rsidRDefault="00970F81" w:rsidP="00970F81">
      <w:pPr>
        <w:tabs>
          <w:tab w:val="left" w:pos="1809"/>
        </w:tabs>
        <w:spacing w:line="276" w:lineRule="auto"/>
        <w:rPr>
          <w:rFonts w:cs="Arial"/>
          <w:bCs/>
        </w:rPr>
      </w:pPr>
    </w:p>
    <w:p w14:paraId="752EEEAC" w14:textId="2487314D" w:rsidR="00970F81" w:rsidRDefault="00970F81" w:rsidP="00970F81">
      <w:pPr>
        <w:tabs>
          <w:tab w:val="left" w:pos="1809"/>
        </w:tabs>
        <w:spacing w:line="276" w:lineRule="auto"/>
        <w:rPr>
          <w:rFonts w:cs="Arial"/>
          <w:bCs/>
        </w:rPr>
      </w:pPr>
    </w:p>
    <w:p w14:paraId="717B1157" w14:textId="1955238E" w:rsidR="00970F81" w:rsidRDefault="00970F81" w:rsidP="00970F81">
      <w:pPr>
        <w:tabs>
          <w:tab w:val="left" w:pos="1809"/>
        </w:tabs>
        <w:spacing w:line="276" w:lineRule="auto"/>
        <w:rPr>
          <w:rFonts w:cs="Arial"/>
          <w:bCs/>
        </w:rPr>
      </w:pPr>
    </w:p>
    <w:p w14:paraId="7241B641" w14:textId="77777777" w:rsidR="00970F81" w:rsidRPr="00970F81" w:rsidRDefault="00970F81" w:rsidP="00970F81">
      <w:pPr>
        <w:tabs>
          <w:tab w:val="left" w:pos="1809"/>
        </w:tabs>
        <w:spacing w:line="276" w:lineRule="auto"/>
        <w:rPr>
          <w:rFonts w:cs="Arial"/>
          <w:bCs/>
        </w:rPr>
      </w:pPr>
    </w:p>
    <w:p w14:paraId="58DFF67C" w14:textId="5DF9DA3E" w:rsidR="00970F81" w:rsidRPr="00970F81" w:rsidRDefault="00970F81" w:rsidP="00970F81">
      <w:pPr>
        <w:pStyle w:val="Paragraphedeliste"/>
        <w:numPr>
          <w:ilvl w:val="0"/>
          <w:numId w:val="7"/>
        </w:numPr>
        <w:tabs>
          <w:tab w:val="left" w:pos="1809"/>
        </w:tabs>
        <w:spacing w:line="276" w:lineRule="auto"/>
        <w:rPr>
          <w:rFonts w:cs="Arial"/>
          <w:b/>
        </w:rPr>
      </w:pPr>
      <w:r w:rsidRPr="00970F81">
        <w:rPr>
          <w:rFonts w:cs="Arial"/>
          <w:b/>
        </w:rPr>
        <w:t>Quelles sont les autres fautes commises par la dirigeante ?</w:t>
      </w:r>
    </w:p>
    <w:p w14:paraId="55365576" w14:textId="59A5059F" w:rsidR="00970F81" w:rsidRDefault="00970F81" w:rsidP="00970F81">
      <w:pPr>
        <w:tabs>
          <w:tab w:val="left" w:pos="1809"/>
        </w:tabs>
        <w:spacing w:line="276" w:lineRule="auto"/>
        <w:rPr>
          <w:rFonts w:cs="Arial"/>
          <w:bCs/>
        </w:rPr>
      </w:pPr>
    </w:p>
    <w:p w14:paraId="2AD59AB3" w14:textId="5F9C9B1E" w:rsidR="00970F81" w:rsidRDefault="00970F81" w:rsidP="00970F81">
      <w:pPr>
        <w:tabs>
          <w:tab w:val="left" w:pos="1809"/>
        </w:tabs>
        <w:spacing w:line="276" w:lineRule="auto"/>
        <w:rPr>
          <w:rFonts w:cs="Arial"/>
          <w:bCs/>
        </w:rPr>
      </w:pPr>
    </w:p>
    <w:p w14:paraId="15F7C2CA" w14:textId="5CF880A5" w:rsidR="00970F81" w:rsidRDefault="00970F81" w:rsidP="00970F81">
      <w:pPr>
        <w:tabs>
          <w:tab w:val="left" w:pos="1809"/>
        </w:tabs>
        <w:spacing w:line="276" w:lineRule="auto"/>
        <w:rPr>
          <w:rFonts w:cs="Arial"/>
          <w:bCs/>
        </w:rPr>
      </w:pPr>
    </w:p>
    <w:p w14:paraId="446C1BCC" w14:textId="0273437F" w:rsidR="00970F81" w:rsidRDefault="00970F81" w:rsidP="00970F81">
      <w:pPr>
        <w:tabs>
          <w:tab w:val="left" w:pos="1809"/>
        </w:tabs>
        <w:spacing w:line="276" w:lineRule="auto"/>
        <w:rPr>
          <w:rFonts w:cs="Arial"/>
          <w:bCs/>
        </w:rPr>
      </w:pPr>
    </w:p>
    <w:p w14:paraId="1AF0FF35" w14:textId="77777777" w:rsidR="00970F81" w:rsidRPr="00970F81" w:rsidRDefault="00970F81" w:rsidP="00970F81">
      <w:pPr>
        <w:tabs>
          <w:tab w:val="left" w:pos="1809"/>
        </w:tabs>
        <w:spacing w:line="276" w:lineRule="auto"/>
        <w:rPr>
          <w:rFonts w:cs="Arial"/>
          <w:bCs/>
        </w:rPr>
      </w:pPr>
    </w:p>
    <w:p w14:paraId="22FFC88B" w14:textId="77777777" w:rsidR="00970F81" w:rsidRPr="00970F81" w:rsidRDefault="00970F81" w:rsidP="00970F81">
      <w:pPr>
        <w:pStyle w:val="Paragraphedeliste"/>
        <w:numPr>
          <w:ilvl w:val="0"/>
          <w:numId w:val="7"/>
        </w:numPr>
        <w:tabs>
          <w:tab w:val="left" w:pos="1809"/>
        </w:tabs>
        <w:spacing w:line="276" w:lineRule="auto"/>
        <w:rPr>
          <w:rFonts w:cs="Arial"/>
          <w:b/>
        </w:rPr>
      </w:pPr>
      <w:r w:rsidRPr="00970F81">
        <w:rPr>
          <w:rFonts w:cs="Arial"/>
          <w:b/>
        </w:rPr>
        <w:t>Quelle est la sanction prononcée et pourquoi est-elle limitée ?</w:t>
      </w:r>
    </w:p>
    <w:p w14:paraId="49BD39A3" w14:textId="77777777" w:rsidR="00970F81" w:rsidRDefault="00970F81" w:rsidP="00970F81">
      <w:pPr>
        <w:jc w:val="both"/>
        <w:rPr>
          <w:rStyle w:val="Accentuationlgre"/>
          <w:sz w:val="22"/>
        </w:rPr>
      </w:pPr>
    </w:p>
    <w:p w14:paraId="7FD86A99" w14:textId="77777777" w:rsidR="00970F81" w:rsidRDefault="00970F81"/>
    <w:sectPr w:rsidR="00970F81" w:rsidSect="0035085D">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8CE"/>
    <w:multiLevelType w:val="hybridMultilevel"/>
    <w:tmpl w:val="1F685758"/>
    <w:lvl w:ilvl="0" w:tplc="928A310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485218"/>
    <w:multiLevelType w:val="multilevel"/>
    <w:tmpl w:val="301E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B0E4F"/>
    <w:multiLevelType w:val="hybridMultilevel"/>
    <w:tmpl w:val="50DC84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9356020"/>
    <w:multiLevelType w:val="multilevel"/>
    <w:tmpl w:val="D23C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061413"/>
    <w:multiLevelType w:val="hybridMultilevel"/>
    <w:tmpl w:val="66C2C108"/>
    <w:lvl w:ilvl="0" w:tplc="2B98CCE8">
      <w:start w:val="1"/>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94C32DF"/>
    <w:multiLevelType w:val="hybridMultilevel"/>
    <w:tmpl w:val="96A487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B177652"/>
    <w:multiLevelType w:val="hybridMultilevel"/>
    <w:tmpl w:val="08620AEE"/>
    <w:lvl w:ilvl="0" w:tplc="5316CBA4">
      <w:start w:val="1"/>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14350184">
    <w:abstractNumId w:val="0"/>
  </w:num>
  <w:num w:numId="2" w16cid:durableId="1539391367">
    <w:abstractNumId w:val="1"/>
  </w:num>
  <w:num w:numId="3" w16cid:durableId="1871216233">
    <w:abstractNumId w:val="3"/>
  </w:num>
  <w:num w:numId="4" w16cid:durableId="1635021293">
    <w:abstractNumId w:val="2"/>
  </w:num>
  <w:num w:numId="5" w16cid:durableId="1746760144">
    <w:abstractNumId w:val="5"/>
  </w:num>
  <w:num w:numId="6" w16cid:durableId="2075002183">
    <w:abstractNumId w:val="4"/>
  </w:num>
  <w:num w:numId="7" w16cid:durableId="1875192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5D"/>
    <w:rsid w:val="00297718"/>
    <w:rsid w:val="0035085D"/>
    <w:rsid w:val="00625C60"/>
    <w:rsid w:val="00970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71EE"/>
  <w15:chartTrackingRefBased/>
  <w15:docId w15:val="{F1813865-E3F3-46AE-8049-D22B5AFF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85D"/>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35085D"/>
    <w:pPr>
      <w:spacing w:after="120"/>
      <w:outlineLvl w:val="1"/>
    </w:pPr>
    <w:rPr>
      <w:rFonts w:ascii="Arial Black" w:eastAsia="Times New Roman" w:hAnsi="Arial Black" w:cs="Arial"/>
      <w:b/>
      <w:color w:val="000000"/>
      <w:sz w:val="24"/>
      <w:szCs w:val="20"/>
      <w:lang w:eastAsia="fr-FR"/>
    </w:rPr>
  </w:style>
  <w:style w:type="paragraph" w:styleId="Titre3">
    <w:name w:val="heading 3"/>
    <w:basedOn w:val="Normal"/>
    <w:next w:val="Normal"/>
    <w:link w:val="Titre3Car"/>
    <w:uiPriority w:val="9"/>
    <w:qFormat/>
    <w:rsid w:val="0035085D"/>
    <w:pPr>
      <w:numPr>
        <w:numId w:val="1"/>
      </w:num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085D"/>
    <w:rPr>
      <w:rFonts w:ascii="Arial Black" w:eastAsia="Times New Roman" w:hAnsi="Arial Black" w:cs="Arial"/>
      <w:b/>
      <w:color w:val="000000"/>
      <w:sz w:val="24"/>
      <w:szCs w:val="20"/>
      <w:lang w:eastAsia="fr-FR"/>
    </w:rPr>
  </w:style>
  <w:style w:type="character" w:customStyle="1" w:styleId="Titre3Car">
    <w:name w:val="Titre 3 Car"/>
    <w:basedOn w:val="Policepardfaut"/>
    <w:link w:val="Titre3"/>
    <w:uiPriority w:val="9"/>
    <w:rsid w:val="0035085D"/>
    <w:rPr>
      <w:rFonts w:ascii="Arial" w:eastAsia="Times New Roman" w:hAnsi="Arial" w:cs="Arial"/>
      <w:b/>
      <w:color w:val="000000"/>
      <w:sz w:val="24"/>
      <w:szCs w:val="20"/>
      <w:lang w:eastAsia="fr-FR"/>
    </w:rPr>
  </w:style>
  <w:style w:type="paragraph" w:styleId="NormalWeb">
    <w:name w:val="Normal (Web)"/>
    <w:basedOn w:val="Normal"/>
    <w:uiPriority w:val="99"/>
    <w:rsid w:val="0035085D"/>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35085D"/>
    <w:rPr>
      <w:b/>
      <w:bCs/>
    </w:rPr>
  </w:style>
  <w:style w:type="paragraph" w:styleId="Paragraphedeliste">
    <w:name w:val="List Paragraph"/>
    <w:basedOn w:val="Normal"/>
    <w:uiPriority w:val="34"/>
    <w:qFormat/>
    <w:rsid w:val="0035085D"/>
    <w:pPr>
      <w:ind w:left="720"/>
      <w:contextualSpacing/>
    </w:pPr>
  </w:style>
  <w:style w:type="character" w:styleId="Accentuationlgre">
    <w:name w:val="Subtle Emphasis"/>
    <w:aliases w:val="Titre 111"/>
    <w:uiPriority w:val="19"/>
    <w:qFormat/>
    <w:rsid w:val="0035085D"/>
    <w:rPr>
      <w:rFonts w:ascii="Arial" w:hAnsi="Arial"/>
      <w:b/>
      <w:sz w:val="24"/>
    </w:rPr>
  </w:style>
  <w:style w:type="character" w:customStyle="1" w:styleId="Date1">
    <w:name w:val="Date1"/>
    <w:basedOn w:val="Policepardfaut"/>
    <w:rsid w:val="0035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4054</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2023-01-05T13:06:00Z</dcterms:created>
  <dcterms:modified xsi:type="dcterms:W3CDTF">2023-01-07T22:00:00Z</dcterms:modified>
</cp:coreProperties>
</file>