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333"/>
        <w:gridCol w:w="6539"/>
        <w:gridCol w:w="2046"/>
      </w:tblGrid>
      <w:tr w:rsidR="00575320" w:rsidRPr="00C22356" w14:paraId="71301A82" w14:textId="77777777" w:rsidTr="00AB4BB2">
        <w:trPr>
          <w:trHeight w:val="386"/>
        </w:trPr>
        <w:tc>
          <w:tcPr>
            <w:tcW w:w="7872" w:type="dxa"/>
            <w:gridSpan w:val="2"/>
            <w:shd w:val="clear" w:color="auto" w:fill="92D050"/>
            <w:vAlign w:val="center"/>
          </w:tcPr>
          <w:p w14:paraId="279FBF5C" w14:textId="77777777" w:rsidR="00575320" w:rsidRPr="00DA32CE" w:rsidRDefault="00575320" w:rsidP="00AB4BB2">
            <w:pPr>
              <w:pStyle w:val="Titre2"/>
              <w:spacing w:before="120"/>
              <w:jc w:val="center"/>
              <w:rPr>
                <w:szCs w:val="22"/>
              </w:rPr>
            </w:pPr>
            <w:r w:rsidRPr="00DA32CE">
              <w:rPr>
                <w:szCs w:val="22"/>
              </w:rPr>
              <w:t>Mission 3 - Gérer les appels d’offres</w:t>
            </w:r>
          </w:p>
        </w:tc>
        <w:tc>
          <w:tcPr>
            <w:tcW w:w="2046" w:type="dxa"/>
            <w:shd w:val="clear" w:color="auto" w:fill="92D050"/>
            <w:vAlign w:val="center"/>
          </w:tcPr>
          <w:p w14:paraId="367CEA2A" w14:textId="77777777" w:rsidR="00575320" w:rsidRPr="0022496D" w:rsidRDefault="00575320" w:rsidP="00AB4BB2">
            <w:pPr>
              <w:jc w:val="center"/>
              <w:rPr>
                <w:rFonts w:ascii="Arial Black" w:hAnsi="Arial Black"/>
                <w:b/>
                <w:sz w:val="24"/>
              </w:rPr>
            </w:pPr>
            <w:r>
              <w:rPr>
                <w:b/>
                <w:noProof/>
              </w:rPr>
              <w:drawing>
                <wp:inline distT="0" distB="0" distL="0" distR="0" wp14:anchorId="292A57F4" wp14:editId="587CF944">
                  <wp:extent cx="1162261" cy="559041"/>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575320" w:rsidRPr="00C22356" w14:paraId="32FEC6E6" w14:textId="77777777" w:rsidTr="00AB4BB2">
        <w:trPr>
          <w:trHeight w:val="386"/>
        </w:trPr>
        <w:tc>
          <w:tcPr>
            <w:tcW w:w="1333" w:type="dxa"/>
            <w:shd w:val="clear" w:color="auto" w:fill="92D050"/>
            <w:vAlign w:val="center"/>
          </w:tcPr>
          <w:p w14:paraId="5D75D17B" w14:textId="77777777" w:rsidR="00575320" w:rsidRPr="00CE3E4B" w:rsidRDefault="00575320" w:rsidP="00AB4BB2">
            <w:r>
              <w:t>Durée : 2 h</w:t>
            </w:r>
          </w:p>
        </w:tc>
        <w:tc>
          <w:tcPr>
            <w:tcW w:w="6539" w:type="dxa"/>
            <w:shd w:val="clear" w:color="auto" w:fill="92D050"/>
          </w:tcPr>
          <w:p w14:paraId="0BF23706" w14:textId="77777777" w:rsidR="00575320" w:rsidRPr="00CE3E4B" w:rsidRDefault="00575320" w:rsidP="00AB4BB2">
            <w:pPr>
              <w:jc w:val="center"/>
            </w:pPr>
            <w:r w:rsidRPr="00DA32CE">
              <w:rPr>
                <w:bCs/>
                <w:noProof/>
                <w:szCs w:val="20"/>
              </w:rPr>
              <w:drawing>
                <wp:inline distT="0" distB="0" distL="0" distR="0" wp14:anchorId="4D73866F" wp14:editId="63F93D45">
                  <wp:extent cx="252000" cy="252000"/>
                  <wp:effectExtent l="0" t="0" r="0" b="0"/>
                  <wp:docPr id="12" name="Graphique 1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2000" cy="252000"/>
                          </a:xfrm>
                          <a:prstGeom prst="rect">
                            <a:avLst/>
                          </a:prstGeom>
                        </pic:spPr>
                      </pic:pic>
                    </a:graphicData>
                  </a:graphic>
                </wp:inline>
              </w:drawing>
            </w:r>
          </w:p>
        </w:tc>
        <w:tc>
          <w:tcPr>
            <w:tcW w:w="2046" w:type="dxa"/>
            <w:shd w:val="clear" w:color="auto" w:fill="92D050"/>
            <w:vAlign w:val="center"/>
          </w:tcPr>
          <w:p w14:paraId="6635A4C3" w14:textId="77777777" w:rsidR="00575320" w:rsidRPr="007A731D" w:rsidRDefault="00575320" w:rsidP="00AB4BB2">
            <w:pPr>
              <w:jc w:val="center"/>
            </w:pPr>
            <w:r w:rsidRPr="007A731D">
              <w:t>Source</w:t>
            </w:r>
          </w:p>
        </w:tc>
      </w:tr>
    </w:tbl>
    <w:p w14:paraId="73213B45" w14:textId="77777777" w:rsidR="00575320" w:rsidRPr="00A96303" w:rsidRDefault="00575320" w:rsidP="00575320">
      <w:pPr>
        <w:spacing w:before="120" w:after="60"/>
        <w:jc w:val="both"/>
        <w:rPr>
          <w:b/>
          <w:sz w:val="24"/>
          <w:szCs w:val="24"/>
        </w:rPr>
      </w:pPr>
      <w:r w:rsidRPr="00A96303">
        <w:rPr>
          <w:b/>
          <w:sz w:val="24"/>
          <w:szCs w:val="24"/>
        </w:rPr>
        <w:t>Contexte professionnel</w:t>
      </w:r>
    </w:p>
    <w:p w14:paraId="5CEBBE7A" w14:textId="3FE81B70" w:rsidR="00575320" w:rsidRPr="00F85170" w:rsidRDefault="00575320" w:rsidP="00575320">
      <w:pPr>
        <w:pStyle w:val="texte"/>
        <w:spacing w:line="240" w:lineRule="auto"/>
        <w:ind w:left="0" w:firstLine="0"/>
        <w:rPr>
          <w:b w:val="0"/>
          <w:bCs w:val="0"/>
          <w:szCs w:val="22"/>
        </w:rPr>
      </w:pPr>
      <w:r w:rsidRPr="00D041B1">
        <w:rPr>
          <w:b w:val="0"/>
        </w:rPr>
        <w:t xml:space="preserve">La société </w:t>
      </w:r>
      <w:r>
        <w:rPr>
          <w:b w:val="0"/>
        </w:rPr>
        <w:t xml:space="preserve">SI-Tech </w:t>
      </w:r>
      <w:r w:rsidRPr="00D041B1">
        <w:rPr>
          <w:b w:val="0"/>
        </w:rPr>
        <w:t xml:space="preserve">est spécialisée dans </w:t>
      </w:r>
      <w:r>
        <w:rPr>
          <w:b w:val="0"/>
        </w:rPr>
        <w:t xml:space="preserve">la création, la </w:t>
      </w:r>
      <w:r w:rsidRPr="00D041B1">
        <w:rPr>
          <w:b w:val="0"/>
        </w:rPr>
        <w:t>vente et la maintenance de solutions informatiques clé en main (matériel</w:t>
      </w:r>
      <w:r>
        <w:rPr>
          <w:b w:val="0"/>
        </w:rPr>
        <w:t>s, logiciels</w:t>
      </w:r>
      <w:r w:rsidRPr="00D041B1">
        <w:rPr>
          <w:b w:val="0"/>
        </w:rPr>
        <w:t xml:space="preserve"> et réseaux)</w:t>
      </w:r>
      <w:r>
        <w:rPr>
          <w:b w:val="0"/>
        </w:rPr>
        <w:t xml:space="preserve"> sur la région Auvergne-Rhone-Alpes</w:t>
      </w:r>
      <w:r w:rsidRPr="00D041B1">
        <w:rPr>
          <w:b w:val="0"/>
        </w:rPr>
        <w:t>.</w:t>
      </w:r>
      <w:r>
        <w:rPr>
          <w:b w:val="0"/>
        </w:rPr>
        <w:t xml:space="preserve"> Par ailleurs, </w:t>
      </w:r>
      <w:r w:rsidRPr="00D041B1">
        <w:rPr>
          <w:b w:val="0"/>
        </w:rPr>
        <w:t>elle assure des formations au</w:t>
      </w:r>
      <w:r>
        <w:rPr>
          <w:b w:val="0"/>
        </w:rPr>
        <w:t>x</w:t>
      </w:r>
      <w:r w:rsidRPr="00D041B1">
        <w:rPr>
          <w:b w:val="0"/>
        </w:rPr>
        <w:t xml:space="preserve"> personnel</w:t>
      </w:r>
      <w:r>
        <w:rPr>
          <w:b w:val="0"/>
        </w:rPr>
        <w:t>s</w:t>
      </w:r>
      <w:r w:rsidRPr="00D041B1">
        <w:rPr>
          <w:b w:val="0"/>
        </w:rPr>
        <w:t>.</w:t>
      </w:r>
      <w:r>
        <w:rPr>
          <w:b w:val="0"/>
        </w:rPr>
        <w:t xml:space="preserve"> </w:t>
      </w:r>
      <w:r w:rsidRPr="005C168F">
        <w:rPr>
          <w:b w:val="0"/>
          <w:bCs w:val="0"/>
          <w:noProof/>
        </w:rPr>
        <w:t>La société travaille essentiellement avec des entreprise privées et des établissements scolaires privés.</w:t>
      </w:r>
      <w:r>
        <w:rPr>
          <w:b w:val="0"/>
          <w:bCs w:val="0"/>
          <w:noProof/>
        </w:rPr>
        <w:t xml:space="preserve"> Elle est dirigée par M. Larrieux.</w:t>
      </w:r>
      <w:r w:rsidR="00F85170">
        <w:rPr>
          <w:b w:val="0"/>
          <w:bCs w:val="0"/>
          <w:noProof/>
        </w:rPr>
        <w:t xml:space="preserve"> </w:t>
      </w:r>
      <w:r w:rsidR="00F85170">
        <w:rPr>
          <w:b w:val="0"/>
          <w:bCs w:val="0"/>
          <w:noProof/>
        </w:rPr>
        <w:t xml:space="preserve">(Coordonnées : </w:t>
      </w:r>
      <w:r w:rsidR="00F85170" w:rsidRPr="007367B9">
        <w:rPr>
          <w:b w:val="0"/>
          <w:bCs w:val="0"/>
          <w:szCs w:val="22"/>
        </w:rPr>
        <w:t>34, rue Royale - 69001 LYON</w:t>
      </w:r>
      <w:r w:rsidR="00F85170">
        <w:rPr>
          <w:b w:val="0"/>
          <w:bCs w:val="0"/>
          <w:szCs w:val="22"/>
        </w:rPr>
        <w:t xml:space="preserve"> - </w:t>
      </w:r>
      <w:r w:rsidR="00F85170" w:rsidRPr="00392D23">
        <w:rPr>
          <w:b w:val="0"/>
          <w:bCs w:val="0"/>
          <w:szCs w:val="22"/>
        </w:rPr>
        <w:t>Tél.</w:t>
      </w:r>
      <w:r w:rsidR="00F85170" w:rsidRPr="007367B9">
        <w:rPr>
          <w:szCs w:val="22"/>
        </w:rPr>
        <w:t xml:space="preserve"> </w:t>
      </w:r>
      <w:r w:rsidR="00F85170">
        <w:rPr>
          <w:b w:val="0"/>
          <w:bCs w:val="0"/>
          <w:szCs w:val="22"/>
        </w:rPr>
        <w:t>: 04 78 45 75 85).</w:t>
      </w:r>
    </w:p>
    <w:p w14:paraId="5AF72443" w14:textId="77777777" w:rsidR="00575320" w:rsidRDefault="00575320" w:rsidP="00575320">
      <w:pPr>
        <w:spacing w:before="60"/>
        <w:jc w:val="both"/>
        <w:rPr>
          <w:szCs w:val="24"/>
        </w:rPr>
      </w:pPr>
      <w:r>
        <w:rPr>
          <w:szCs w:val="24"/>
        </w:rPr>
        <w:t>M. Larrieux vous transmet un appel d’offres qu’il a trouvé sur un journal d’annonces légales et qui est susceptible d’intéresser la société.</w:t>
      </w:r>
    </w:p>
    <w:p w14:paraId="5637054A" w14:textId="77777777" w:rsidR="00575320" w:rsidRPr="0022496D" w:rsidRDefault="00575320" w:rsidP="00575320">
      <w:pPr>
        <w:spacing w:before="120" w:after="60"/>
        <w:jc w:val="both"/>
        <w:rPr>
          <w:b/>
          <w:sz w:val="24"/>
          <w:szCs w:val="24"/>
        </w:rPr>
      </w:pPr>
      <w:r w:rsidRPr="0022496D">
        <w:rPr>
          <w:b/>
          <w:sz w:val="24"/>
          <w:szCs w:val="24"/>
        </w:rPr>
        <w:t xml:space="preserve">Travail à faire  </w:t>
      </w:r>
    </w:p>
    <w:p w14:paraId="17D2D7C1" w14:textId="77777777" w:rsidR="00575320" w:rsidRPr="00575320" w:rsidRDefault="00575320" w:rsidP="00575320">
      <w:pPr>
        <w:pStyle w:val="Paragraphedeliste"/>
        <w:numPr>
          <w:ilvl w:val="0"/>
          <w:numId w:val="1"/>
        </w:numPr>
        <w:spacing w:line="276" w:lineRule="auto"/>
        <w:jc w:val="both"/>
        <w:rPr>
          <w:bCs/>
          <w:sz w:val="20"/>
        </w:rPr>
      </w:pPr>
      <w:r w:rsidRPr="00575320">
        <w:rPr>
          <w:bCs/>
          <w:sz w:val="20"/>
        </w:rPr>
        <w:t>Rédigez la lettre de demande de dossier auprès de l’organisme compétent (le 15 décembre).</w:t>
      </w:r>
    </w:p>
    <w:p w14:paraId="0EABC1DC" w14:textId="77777777" w:rsidR="00575320" w:rsidRPr="00575320" w:rsidRDefault="00575320" w:rsidP="00575320">
      <w:pPr>
        <w:pStyle w:val="Paragraphedeliste"/>
        <w:numPr>
          <w:ilvl w:val="0"/>
          <w:numId w:val="1"/>
        </w:numPr>
        <w:spacing w:line="276" w:lineRule="auto"/>
        <w:jc w:val="both"/>
        <w:rPr>
          <w:bCs/>
          <w:sz w:val="20"/>
        </w:rPr>
      </w:pPr>
      <w:r w:rsidRPr="00575320">
        <w:rPr>
          <w:bCs/>
          <w:sz w:val="20"/>
        </w:rPr>
        <w:t xml:space="preserve">Transmettez le courrier au directeur commercial, M. Coupert (le 20 décembre) pour qu’il prenne les dispositions nécessaires à la réponse à cet appel d’offres avant le 31 décembre. </w:t>
      </w:r>
    </w:p>
    <w:p w14:paraId="6E38D7FB" w14:textId="77777777" w:rsidR="00575320" w:rsidRPr="00575320" w:rsidRDefault="00575320" w:rsidP="00575320">
      <w:pPr>
        <w:pStyle w:val="Paragraphedeliste"/>
        <w:numPr>
          <w:ilvl w:val="0"/>
          <w:numId w:val="1"/>
        </w:numPr>
        <w:spacing w:line="276" w:lineRule="auto"/>
        <w:jc w:val="both"/>
        <w:rPr>
          <w:bCs/>
          <w:sz w:val="20"/>
        </w:rPr>
      </w:pPr>
      <w:r w:rsidRPr="00575320">
        <w:rPr>
          <w:bCs/>
          <w:sz w:val="20"/>
        </w:rPr>
        <w:t>Concevez un tableau de suivi des appels d’offres et saisissez-y l’appel d’offres remise en annexe 1 (numéro interne : 01-2023).</w:t>
      </w:r>
    </w:p>
    <w:p w14:paraId="15C2A7D4" w14:textId="77777777" w:rsidR="00575320" w:rsidRPr="00575320" w:rsidRDefault="00575320" w:rsidP="00575320">
      <w:pPr>
        <w:pStyle w:val="Paragraphedeliste"/>
        <w:numPr>
          <w:ilvl w:val="0"/>
          <w:numId w:val="1"/>
        </w:numPr>
        <w:spacing w:line="276" w:lineRule="auto"/>
        <w:jc w:val="both"/>
        <w:rPr>
          <w:bCs/>
          <w:sz w:val="20"/>
        </w:rPr>
      </w:pPr>
      <w:r w:rsidRPr="00575320">
        <w:rPr>
          <w:bCs/>
          <w:sz w:val="20"/>
        </w:rPr>
        <w:t>Mettez à jour le tableau. Le dossier a été complété le 5 janvier. Le montant prévu est de 310 000 €. Il a été envoyé le 7 janvier. Le reçus de dépôt porte le numéro LTF 210.</w:t>
      </w:r>
    </w:p>
    <w:p w14:paraId="67AD3C5E" w14:textId="77777777" w:rsidR="00575320" w:rsidRDefault="00575320" w:rsidP="00575320">
      <w:pPr>
        <w:jc w:val="center"/>
        <w:rPr>
          <w:b/>
          <w:szCs w:val="24"/>
        </w:rPr>
      </w:pPr>
    </w:p>
    <w:p w14:paraId="7BF1BF81" w14:textId="77777777" w:rsidR="00575320" w:rsidRPr="00333637" w:rsidRDefault="00575320" w:rsidP="00575320">
      <w:pPr>
        <w:spacing w:after="120"/>
        <w:rPr>
          <w:b/>
          <w:sz w:val="24"/>
          <w:szCs w:val="24"/>
        </w:rPr>
      </w:pPr>
      <w:r w:rsidRPr="00333637">
        <w:rPr>
          <w:b/>
          <w:sz w:val="24"/>
          <w:szCs w:val="24"/>
        </w:rPr>
        <w:t xml:space="preserve">Annexe 1 - Appel d’offres </w:t>
      </w:r>
    </w:p>
    <w:tbl>
      <w:tblPr>
        <w:tblStyle w:val="Grilledutableau"/>
        <w:tblW w:w="9918" w:type="dxa"/>
        <w:tblLook w:val="04A0" w:firstRow="1" w:lastRow="0" w:firstColumn="1" w:lastColumn="0" w:noHBand="0" w:noVBand="1"/>
      </w:tblPr>
      <w:tblGrid>
        <w:gridCol w:w="3256"/>
        <w:gridCol w:w="3969"/>
        <w:gridCol w:w="2693"/>
      </w:tblGrid>
      <w:tr w:rsidR="00575320" w:rsidRPr="00F50C77" w14:paraId="101B6075" w14:textId="77777777" w:rsidTr="00AB4BB2">
        <w:tc>
          <w:tcPr>
            <w:tcW w:w="9918" w:type="dxa"/>
            <w:gridSpan w:val="3"/>
            <w:tcBorders>
              <w:bottom w:val="single" w:sz="4" w:space="0" w:color="auto"/>
            </w:tcBorders>
          </w:tcPr>
          <w:p w14:paraId="044CC482" w14:textId="77777777" w:rsidR="00575320" w:rsidRPr="00F50C77" w:rsidRDefault="00575320" w:rsidP="00AB4BB2">
            <w:pPr>
              <w:spacing w:before="60" w:after="60" w:line="195" w:lineRule="atLeast"/>
              <w:rPr>
                <w:rFonts w:eastAsia="Times New Roman" w:cs="Arial"/>
                <w:b/>
                <w:bCs/>
                <w:sz w:val="18"/>
              </w:rPr>
            </w:pPr>
            <w:r w:rsidRPr="00F50C77">
              <w:rPr>
                <w:rFonts w:eastAsia="Times New Roman" w:cs="Arial"/>
                <w:b/>
                <w:bCs/>
                <w:color w:val="000000"/>
                <w:sz w:val="18"/>
              </w:rPr>
              <w:t xml:space="preserve">Mise en œuvre d'une solution Microsoft Dynamics Nav intégrant les activités de gestion de la </w:t>
            </w:r>
            <w:r w:rsidRPr="00F50C77">
              <w:rPr>
                <w:rFonts w:eastAsia="Times New Roman" w:cs="Arial"/>
                <w:b/>
                <w:bCs/>
                <w:color w:val="000000" w:themeColor="text1"/>
                <w:sz w:val="18"/>
              </w:rPr>
              <w:t>comptabilité, de gestion de projet et de gestion de temps du personnel, pour le compte de Lyon-Turin Ferroviaire SAS.</w:t>
            </w:r>
          </w:p>
        </w:tc>
      </w:tr>
      <w:tr w:rsidR="00575320" w:rsidRPr="00F50C77" w14:paraId="150D12BC" w14:textId="77777777" w:rsidTr="00AB4BB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55028F2" w14:textId="77777777" w:rsidR="00575320" w:rsidRPr="00F50C77" w:rsidRDefault="00575320" w:rsidP="00AB4BB2">
            <w:pPr>
              <w:spacing w:before="60" w:after="60" w:line="195" w:lineRule="atLeast"/>
              <w:rPr>
                <w:rFonts w:eastAsia="Times New Roman" w:cs="Arial"/>
                <w:b/>
                <w:bCs/>
                <w:sz w:val="18"/>
              </w:rPr>
            </w:pPr>
            <w:r w:rsidRPr="00F50C77">
              <w:rPr>
                <w:rFonts w:eastAsia="Times New Roman" w:cs="Arial"/>
                <w:color w:val="000000" w:themeColor="text1"/>
                <w:sz w:val="18"/>
              </w:rPr>
              <w:t>Avis N° : AO-1451-4215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3F877B" w14:textId="77777777" w:rsidR="00575320" w:rsidRPr="00F50C77" w:rsidRDefault="00575320" w:rsidP="00AB4BB2">
            <w:pPr>
              <w:shd w:val="clear" w:color="auto" w:fill="F2F2F2"/>
              <w:spacing w:before="60" w:after="60" w:line="195" w:lineRule="atLeast"/>
              <w:jc w:val="center"/>
              <w:rPr>
                <w:rFonts w:eastAsia="Times New Roman" w:cs="Arial"/>
                <w:color w:val="000000" w:themeColor="text1"/>
                <w:sz w:val="18"/>
              </w:rPr>
            </w:pPr>
            <w:r w:rsidRPr="00F50C77">
              <w:rPr>
                <w:rFonts w:eastAsia="Times New Roman" w:cs="Arial"/>
                <w:color w:val="000000" w:themeColor="text1"/>
                <w:sz w:val="18"/>
              </w:rPr>
              <w:t>Mise en ligne : 13/12/20</w:t>
            </w:r>
            <w:r>
              <w:rPr>
                <w:rFonts w:eastAsia="Times New Roman" w:cs="Arial"/>
                <w:color w:val="000000" w:themeColor="text1"/>
                <w:sz w:val="18"/>
              </w:rPr>
              <w:t>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33D6308" w14:textId="77777777" w:rsidR="00575320" w:rsidRPr="00F50C77" w:rsidRDefault="00575320" w:rsidP="00AB4BB2">
            <w:pPr>
              <w:shd w:val="clear" w:color="auto" w:fill="F2F2F2"/>
              <w:spacing w:before="60" w:after="60" w:line="195" w:lineRule="atLeast"/>
              <w:rPr>
                <w:rFonts w:eastAsia="Times New Roman" w:cs="Arial"/>
                <w:color w:val="000000" w:themeColor="text1"/>
                <w:sz w:val="18"/>
              </w:rPr>
            </w:pPr>
            <w:r w:rsidRPr="00F50C77">
              <w:rPr>
                <w:rFonts w:eastAsia="Times New Roman" w:cs="Arial"/>
                <w:color w:val="000000" w:themeColor="text1"/>
                <w:sz w:val="18"/>
              </w:rPr>
              <w:t xml:space="preserve">Source : JOUE </w:t>
            </w:r>
          </w:p>
        </w:tc>
      </w:tr>
      <w:tr w:rsidR="00575320" w:rsidRPr="00F50C77" w14:paraId="7CCAC8A1" w14:textId="77777777" w:rsidTr="00AB4BB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1946E45" w14:textId="77777777" w:rsidR="00575320" w:rsidRPr="00F50C77" w:rsidRDefault="00575320" w:rsidP="00AB4BB2">
            <w:pPr>
              <w:shd w:val="clear" w:color="auto" w:fill="F2F2F2"/>
              <w:spacing w:before="60" w:after="60" w:line="195" w:lineRule="atLeast"/>
              <w:rPr>
                <w:rFonts w:eastAsia="Times New Roman" w:cs="Arial"/>
                <w:color w:val="000000" w:themeColor="text1"/>
                <w:sz w:val="18"/>
              </w:rPr>
            </w:pPr>
            <w:r w:rsidRPr="00F50C77">
              <w:rPr>
                <w:rFonts w:eastAsia="Times New Roman" w:cs="Arial"/>
                <w:color w:val="000000" w:themeColor="text1"/>
                <w:sz w:val="18"/>
              </w:rPr>
              <w:t>73 - CHAMBERY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571AD8" w14:textId="77777777" w:rsidR="00575320" w:rsidRPr="00F50C77" w:rsidRDefault="00575320" w:rsidP="00AB4BB2">
            <w:pPr>
              <w:shd w:val="clear" w:color="auto" w:fill="F2F2F2"/>
              <w:spacing w:before="60" w:after="60" w:line="195" w:lineRule="atLeast"/>
              <w:jc w:val="center"/>
              <w:rPr>
                <w:rFonts w:eastAsia="Times New Roman" w:cs="Arial"/>
                <w:b/>
                <w:bCs/>
                <w:sz w:val="18"/>
              </w:rPr>
            </w:pPr>
            <w:r w:rsidRPr="00F50C77">
              <w:rPr>
                <w:rFonts w:eastAsia="Times New Roman" w:cs="Arial"/>
                <w:color w:val="000000" w:themeColor="text1"/>
                <w:sz w:val="18"/>
              </w:rPr>
              <w:t xml:space="preserve">Client : </w:t>
            </w:r>
            <w:r w:rsidRPr="00F50C77">
              <w:rPr>
                <w:rFonts w:eastAsia="Times New Roman" w:cs="Arial"/>
                <w:b/>
                <w:bCs/>
                <w:color w:val="000000" w:themeColor="text1"/>
                <w:sz w:val="18"/>
              </w:rPr>
              <w:t>Lyon Turin Ferroviaire SAS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6AD98C6" w14:textId="77777777" w:rsidR="00575320" w:rsidRPr="00F50C77" w:rsidRDefault="00575320" w:rsidP="00AB4BB2">
            <w:pPr>
              <w:shd w:val="clear" w:color="auto" w:fill="F2F2F2"/>
              <w:spacing w:before="60" w:after="60" w:line="195" w:lineRule="atLeast"/>
              <w:rPr>
                <w:rFonts w:eastAsia="Times New Roman" w:cs="Arial"/>
                <w:b/>
                <w:bCs/>
                <w:sz w:val="18"/>
              </w:rPr>
            </w:pPr>
            <w:r w:rsidRPr="00F50C77">
              <w:rPr>
                <w:rFonts w:eastAsia="Times New Roman" w:cs="Arial"/>
                <w:color w:val="000000" w:themeColor="text1"/>
                <w:sz w:val="18"/>
              </w:rPr>
              <w:t>Marché négocié </w:t>
            </w:r>
          </w:p>
        </w:tc>
      </w:tr>
      <w:tr w:rsidR="00575320" w:rsidRPr="00F50C77" w14:paraId="56B3E5EC" w14:textId="77777777" w:rsidTr="00AB4BB2">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A7FCD7D" w14:textId="77777777" w:rsidR="00575320" w:rsidRPr="00F50C77" w:rsidRDefault="00575320" w:rsidP="00AB4BB2">
            <w:pPr>
              <w:shd w:val="clear" w:color="auto" w:fill="F2F2F2"/>
              <w:spacing w:before="60" w:after="60" w:line="195" w:lineRule="atLeast"/>
              <w:rPr>
                <w:rFonts w:eastAsia="Times New Roman" w:cs="Arial"/>
                <w:color w:val="000000" w:themeColor="text1"/>
                <w:sz w:val="18"/>
              </w:rPr>
            </w:pPr>
            <w:r w:rsidRPr="00F50C77">
              <w:rPr>
                <w:rFonts w:eastAsia="Times New Roman" w:cs="Arial"/>
                <w:color w:val="000000" w:themeColor="text1"/>
                <w:sz w:val="18"/>
              </w:rPr>
              <w:t xml:space="preserve">Date limite réponse : </w:t>
            </w:r>
            <w:r w:rsidRPr="00F50C77">
              <w:rPr>
                <w:rFonts w:eastAsia="Times New Roman" w:cs="Arial"/>
                <w:b/>
                <w:bCs/>
                <w:color w:val="000000" w:themeColor="text1"/>
                <w:sz w:val="18"/>
              </w:rPr>
              <w:t>16/01/20</w:t>
            </w:r>
            <w:r>
              <w:rPr>
                <w:rFonts w:eastAsia="Times New Roman" w:cs="Arial"/>
                <w:b/>
                <w:bCs/>
                <w:color w:val="000000" w:themeColor="text1"/>
                <w:sz w:val="18"/>
              </w:rPr>
              <w:t>23</w:t>
            </w:r>
            <w:r w:rsidRPr="00F50C77">
              <w:rPr>
                <w:rFonts w:eastAsia="Times New Roman" w:cs="Arial"/>
                <w:color w:val="000000" w:themeColor="text1"/>
                <w:sz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FAF7C5" w14:textId="77777777" w:rsidR="00575320" w:rsidRPr="00F50C77" w:rsidRDefault="00575320" w:rsidP="00AB4BB2">
            <w:pPr>
              <w:spacing w:before="60" w:after="60" w:line="195" w:lineRule="atLeast"/>
              <w:jc w:val="center"/>
              <w:rPr>
                <w:rFonts w:eastAsia="Times New Roman" w:cs="Arial"/>
                <w:b/>
                <w:bCs/>
                <w:sz w:val="18"/>
              </w:rPr>
            </w:pPr>
            <w:r w:rsidRPr="00F50C77">
              <w:rPr>
                <w:rFonts w:eastAsia="Times New Roman" w:cs="Arial"/>
                <w:color w:val="000000" w:themeColor="text1"/>
                <w:sz w:val="18"/>
              </w:rPr>
              <w:t>Avis de marché – secteurs spéciaux</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0025B9" w14:textId="77777777" w:rsidR="00575320" w:rsidRPr="00F50C77" w:rsidRDefault="00575320" w:rsidP="00AB4BB2">
            <w:pPr>
              <w:spacing w:before="60" w:after="60" w:line="195" w:lineRule="atLeast"/>
              <w:rPr>
                <w:rFonts w:eastAsia="Times New Roman" w:cs="Arial"/>
                <w:b/>
                <w:bCs/>
                <w:sz w:val="18"/>
              </w:rPr>
            </w:pPr>
            <w:r w:rsidRPr="00F50C77">
              <w:rPr>
                <w:rFonts w:eastAsia="Times New Roman" w:cs="Arial"/>
                <w:color w:val="000000" w:themeColor="text1"/>
                <w:sz w:val="18"/>
              </w:rPr>
              <w:t>Directive 2004/17/CE</w:t>
            </w:r>
          </w:p>
        </w:tc>
      </w:tr>
      <w:tr w:rsidR="00575320" w:rsidRPr="007B0B3F" w14:paraId="62E8BE52" w14:textId="77777777" w:rsidTr="00AB4BB2">
        <w:tc>
          <w:tcPr>
            <w:tcW w:w="9918" w:type="dxa"/>
            <w:gridSpan w:val="3"/>
            <w:tcBorders>
              <w:top w:val="single" w:sz="4" w:space="0" w:color="auto"/>
            </w:tcBorders>
            <w:shd w:val="clear" w:color="auto" w:fill="auto"/>
            <w:vAlign w:val="center"/>
          </w:tcPr>
          <w:p w14:paraId="4E888605" w14:textId="77777777" w:rsidR="00575320" w:rsidRPr="00C57E91" w:rsidRDefault="00575320" w:rsidP="00AB4BB2">
            <w:pPr>
              <w:shd w:val="clear" w:color="auto" w:fill="FFFFFF"/>
              <w:spacing w:before="120" w:line="195" w:lineRule="atLeast"/>
              <w:rPr>
                <w:rFonts w:eastAsia="Times New Roman" w:cs="Arial"/>
                <w:b/>
                <w:bCs/>
                <w:sz w:val="18"/>
              </w:rPr>
            </w:pPr>
            <w:r w:rsidRPr="00C57E91">
              <w:rPr>
                <w:rFonts w:eastAsia="Times New Roman" w:cs="Arial"/>
                <w:b/>
                <w:bCs/>
                <w:sz w:val="18"/>
              </w:rPr>
              <w:t>Section I</w:t>
            </w:r>
            <w:r>
              <w:rPr>
                <w:rFonts w:eastAsia="Times New Roman" w:cs="Arial"/>
                <w:b/>
                <w:bCs/>
                <w:sz w:val="18"/>
              </w:rPr>
              <w:t xml:space="preserve"> </w:t>
            </w:r>
            <w:r w:rsidRPr="00C57E91">
              <w:rPr>
                <w:rFonts w:eastAsia="Times New Roman" w:cs="Arial"/>
                <w:b/>
                <w:bCs/>
                <w:sz w:val="18"/>
              </w:rPr>
              <w:t>: Entité adjudicatrice</w:t>
            </w:r>
          </w:p>
          <w:p w14:paraId="668A4E3F" w14:textId="77777777" w:rsidR="00575320" w:rsidRPr="007B0B3F" w:rsidRDefault="00575320" w:rsidP="00AB4BB2">
            <w:pPr>
              <w:spacing w:after="120" w:line="195" w:lineRule="atLeast"/>
              <w:rPr>
                <w:rFonts w:eastAsia="Times New Roman" w:cs="Arial"/>
                <w:color w:val="000000"/>
                <w:sz w:val="18"/>
              </w:rPr>
            </w:pPr>
            <w:r w:rsidRPr="00C57E91">
              <w:rPr>
                <w:rFonts w:eastAsia="Times New Roman" w:cs="Arial"/>
                <w:color w:val="000000"/>
                <w:sz w:val="18"/>
              </w:rPr>
              <w:t>Lyon Turin Ferroviaire SAS</w:t>
            </w:r>
            <w:r>
              <w:rPr>
                <w:rFonts w:eastAsia="Times New Roman" w:cs="Arial"/>
                <w:color w:val="000000"/>
                <w:sz w:val="18"/>
              </w:rPr>
              <w:t xml:space="preserve"> - </w:t>
            </w:r>
            <w:r w:rsidRPr="00C57E91">
              <w:rPr>
                <w:rFonts w:eastAsia="Times New Roman" w:cs="Arial"/>
                <w:color w:val="000000"/>
                <w:sz w:val="18"/>
              </w:rPr>
              <w:t>1091 avenue de la Boisse, BP 80631</w:t>
            </w:r>
            <w:r w:rsidRPr="007B0B3F">
              <w:rPr>
                <w:rFonts w:eastAsia="Times New Roman" w:cs="Arial"/>
                <w:color w:val="000000"/>
                <w:sz w:val="18"/>
              </w:rPr>
              <w:t xml:space="preserve"> - </w:t>
            </w:r>
            <w:r w:rsidRPr="00C57E91">
              <w:rPr>
                <w:rFonts w:eastAsia="Times New Roman" w:cs="Arial"/>
                <w:color w:val="000000"/>
                <w:sz w:val="18"/>
              </w:rPr>
              <w:t>73006 Chambéry</w:t>
            </w:r>
            <w:r w:rsidRPr="007B0B3F">
              <w:rPr>
                <w:rFonts w:eastAsia="Times New Roman" w:cs="Arial"/>
                <w:color w:val="000000"/>
                <w:sz w:val="18"/>
              </w:rPr>
              <w:t xml:space="preserve"> </w:t>
            </w:r>
            <w:r w:rsidRPr="00C57E91">
              <w:rPr>
                <w:rFonts w:eastAsia="Times New Roman" w:cs="Arial"/>
                <w:color w:val="000000"/>
                <w:sz w:val="18"/>
              </w:rPr>
              <w:t>FRANCE</w:t>
            </w:r>
            <w:r w:rsidRPr="00C57E91">
              <w:rPr>
                <w:rFonts w:eastAsia="Times New Roman" w:cs="Arial"/>
                <w:color w:val="000000"/>
                <w:sz w:val="18"/>
              </w:rPr>
              <w:br/>
              <w:t>À l'attentio</w:t>
            </w:r>
            <w:r>
              <w:rPr>
                <w:rFonts w:eastAsia="Times New Roman" w:cs="Arial"/>
                <w:color w:val="000000"/>
                <w:sz w:val="18"/>
              </w:rPr>
              <w:t>n de : Stéphanie Nicoud</w:t>
            </w:r>
            <w:r>
              <w:rPr>
                <w:rFonts w:eastAsia="Times New Roman" w:cs="Arial"/>
                <w:color w:val="000000"/>
                <w:sz w:val="18"/>
              </w:rPr>
              <w:br/>
              <w:t xml:space="preserve">Tél </w:t>
            </w:r>
            <w:r w:rsidRPr="00C57E91">
              <w:rPr>
                <w:rFonts w:eastAsia="Times New Roman" w:cs="Arial"/>
                <w:color w:val="000000"/>
                <w:sz w:val="18"/>
              </w:rPr>
              <w:t>: +33 479685669</w:t>
            </w:r>
            <w:r w:rsidRPr="007B0B3F">
              <w:rPr>
                <w:rFonts w:eastAsia="Times New Roman" w:cs="Arial"/>
                <w:color w:val="000000"/>
                <w:sz w:val="18"/>
              </w:rPr>
              <w:t xml:space="preserve"> - </w:t>
            </w:r>
            <w:r w:rsidRPr="00C57E91">
              <w:rPr>
                <w:rFonts w:eastAsia="Times New Roman" w:cs="Arial"/>
                <w:color w:val="000000"/>
                <w:sz w:val="18"/>
              </w:rPr>
              <w:t>E-mail</w:t>
            </w:r>
            <w:r>
              <w:rPr>
                <w:rFonts w:eastAsia="Times New Roman" w:cs="Arial"/>
                <w:color w:val="000000"/>
                <w:sz w:val="18"/>
              </w:rPr>
              <w:t xml:space="preserve"> </w:t>
            </w:r>
            <w:r w:rsidRPr="00C57E91">
              <w:rPr>
                <w:rFonts w:eastAsia="Times New Roman" w:cs="Arial"/>
                <w:color w:val="000000"/>
                <w:sz w:val="18"/>
              </w:rPr>
              <w:t xml:space="preserve">: </w:t>
            </w:r>
            <w:r w:rsidRPr="007B0B3F">
              <w:rPr>
                <w:rFonts w:eastAsia="Times New Roman" w:cs="Arial"/>
                <w:color w:val="7777CC"/>
                <w:sz w:val="18"/>
                <w:u w:val="single"/>
              </w:rPr>
              <w:t>fonction.marches@ltf-sas.com</w:t>
            </w:r>
            <w:r w:rsidRPr="007B0B3F">
              <w:rPr>
                <w:rFonts w:eastAsia="Times New Roman" w:cs="Arial"/>
                <w:color w:val="000000"/>
                <w:sz w:val="18"/>
              </w:rPr>
              <w:t xml:space="preserve"> </w:t>
            </w:r>
            <w:r>
              <w:rPr>
                <w:rFonts w:eastAsia="Times New Roman" w:cs="Arial"/>
                <w:color w:val="000000"/>
                <w:sz w:val="18"/>
              </w:rPr>
              <w:t xml:space="preserve">– </w:t>
            </w:r>
          </w:p>
        </w:tc>
      </w:tr>
      <w:tr w:rsidR="00575320" w:rsidRPr="007B0B3F" w14:paraId="4A576F53" w14:textId="77777777" w:rsidTr="00AB4BB2">
        <w:tc>
          <w:tcPr>
            <w:tcW w:w="9918" w:type="dxa"/>
            <w:gridSpan w:val="3"/>
            <w:shd w:val="clear" w:color="auto" w:fill="auto"/>
            <w:vAlign w:val="center"/>
          </w:tcPr>
          <w:p w14:paraId="15DA3E29" w14:textId="77777777" w:rsidR="00575320" w:rsidRPr="00C57E91" w:rsidRDefault="00575320" w:rsidP="00AB4BB2">
            <w:pPr>
              <w:shd w:val="clear" w:color="auto" w:fill="FFFFFF"/>
              <w:spacing w:line="195" w:lineRule="atLeast"/>
              <w:rPr>
                <w:rFonts w:eastAsia="Times New Roman" w:cs="Arial"/>
                <w:b/>
                <w:bCs/>
                <w:sz w:val="18"/>
              </w:rPr>
            </w:pPr>
            <w:r w:rsidRPr="00C57E91">
              <w:rPr>
                <w:rFonts w:eastAsia="Times New Roman" w:cs="Arial"/>
                <w:b/>
                <w:bCs/>
                <w:sz w:val="18"/>
              </w:rPr>
              <w:t>Section II</w:t>
            </w:r>
            <w:r w:rsidRPr="007B0B3F">
              <w:rPr>
                <w:rFonts w:eastAsia="Times New Roman" w:cs="Arial"/>
                <w:b/>
                <w:bCs/>
                <w:sz w:val="18"/>
              </w:rPr>
              <w:t xml:space="preserve"> </w:t>
            </w:r>
            <w:r w:rsidRPr="00C57E91">
              <w:rPr>
                <w:rFonts w:eastAsia="Times New Roman" w:cs="Arial"/>
                <w:b/>
                <w:bCs/>
                <w:sz w:val="18"/>
              </w:rPr>
              <w:t>: Objet du marché</w:t>
            </w:r>
          </w:p>
          <w:p w14:paraId="708F73B9" w14:textId="77777777" w:rsidR="00575320" w:rsidRPr="007B0B3F" w:rsidRDefault="00575320" w:rsidP="00AB4BB2">
            <w:pPr>
              <w:shd w:val="clear" w:color="auto" w:fill="FFFFFF"/>
              <w:spacing w:after="120" w:line="195" w:lineRule="atLeast"/>
              <w:rPr>
                <w:rFonts w:eastAsia="Times New Roman" w:cs="Arial"/>
                <w:b/>
                <w:bCs/>
                <w:sz w:val="18"/>
              </w:rPr>
            </w:pPr>
            <w:r w:rsidRPr="00C57E91">
              <w:rPr>
                <w:rFonts w:eastAsia="Times New Roman" w:cs="Arial"/>
                <w:b/>
                <w:bCs/>
                <w:sz w:val="18"/>
              </w:rPr>
              <w:t>II.1) Description</w:t>
            </w:r>
            <w:r w:rsidRPr="00C57E91">
              <w:rPr>
                <w:rFonts w:eastAsia="Times New Roman" w:cs="Arial"/>
                <w:b/>
                <w:bCs/>
                <w:sz w:val="18"/>
              </w:rPr>
              <w:br/>
            </w:r>
            <w:r w:rsidRPr="00C57E91">
              <w:rPr>
                <w:rFonts w:eastAsia="Times New Roman" w:cs="Arial"/>
                <w:sz w:val="18"/>
              </w:rPr>
              <w:t>Mise en œuvre d'une solution Microsoft Dynamics Nav intégrant les activités de gestion de la comptabilité, de gestion de projet et de gestion de temps du personnel, pour le compte de Lyon-Turin Ferroviaire</w:t>
            </w:r>
            <w:r w:rsidRPr="00C57E91">
              <w:rPr>
                <w:rFonts w:eastAsia="Times New Roman" w:cs="Arial"/>
                <w:sz w:val="18"/>
              </w:rPr>
              <w:br/>
            </w:r>
            <w:r w:rsidRPr="00C57E91">
              <w:rPr>
                <w:rFonts w:eastAsia="Times New Roman" w:cs="Arial"/>
                <w:b/>
                <w:bCs/>
                <w:sz w:val="18"/>
              </w:rPr>
              <w:t>II.2) Quantité ou étendue du marché</w:t>
            </w:r>
            <w:r w:rsidRPr="00C57E91">
              <w:rPr>
                <w:rFonts w:eastAsia="Times New Roman" w:cs="Arial"/>
                <w:b/>
                <w:bCs/>
                <w:sz w:val="18"/>
              </w:rPr>
              <w:br/>
            </w:r>
            <w:r>
              <w:rPr>
                <w:rFonts w:eastAsia="Times New Roman" w:cs="Arial"/>
                <w:sz w:val="18"/>
              </w:rPr>
              <w:t xml:space="preserve">Conception, </w:t>
            </w:r>
            <w:r w:rsidRPr="00C57E91">
              <w:rPr>
                <w:rFonts w:eastAsia="Times New Roman" w:cs="Arial"/>
                <w:sz w:val="18"/>
              </w:rPr>
              <w:t>réalisation, tests, reprise de données,</w:t>
            </w:r>
            <w:r>
              <w:rPr>
                <w:rFonts w:eastAsia="Times New Roman" w:cs="Arial"/>
                <w:sz w:val="18"/>
              </w:rPr>
              <w:t xml:space="preserve"> </w:t>
            </w:r>
            <w:r w:rsidRPr="00C57E91">
              <w:rPr>
                <w:rFonts w:eastAsia="Times New Roman" w:cs="Arial"/>
                <w:sz w:val="18"/>
              </w:rPr>
              <w:t>accompagnement, support et maintenance de la solution</w:t>
            </w:r>
            <w:r w:rsidRPr="007B0B3F">
              <w:rPr>
                <w:rFonts w:eastAsia="Times New Roman" w:cs="Arial"/>
                <w:sz w:val="18"/>
              </w:rPr>
              <w:t xml:space="preserve"> informatique</w:t>
            </w:r>
            <w:r>
              <w:rPr>
                <w:rFonts w:eastAsia="Times New Roman" w:cs="Arial"/>
                <w:sz w:val="18"/>
              </w:rPr>
              <w:t>.</w:t>
            </w:r>
            <w:r w:rsidRPr="00C57E91">
              <w:rPr>
                <w:rFonts w:eastAsia="Times New Roman" w:cs="Arial"/>
                <w:sz w:val="18"/>
              </w:rPr>
              <w:br/>
              <w:t>Volumétrie estim</w:t>
            </w:r>
            <w:r>
              <w:rPr>
                <w:rFonts w:eastAsia="Times New Roman" w:cs="Arial"/>
                <w:sz w:val="18"/>
              </w:rPr>
              <w:t>ée</w:t>
            </w:r>
            <w:r w:rsidRPr="00C57E91">
              <w:rPr>
                <w:rFonts w:eastAsia="Times New Roman" w:cs="Arial"/>
                <w:sz w:val="18"/>
              </w:rPr>
              <w:t xml:space="preserve"> sur une année</w:t>
            </w:r>
            <w:r>
              <w:rPr>
                <w:rFonts w:eastAsia="Times New Roman" w:cs="Arial"/>
                <w:sz w:val="18"/>
              </w:rPr>
              <w:t xml:space="preserve"> </w:t>
            </w:r>
            <w:r w:rsidRPr="00C57E91">
              <w:rPr>
                <w:rFonts w:eastAsia="Times New Roman" w:cs="Arial"/>
                <w:sz w:val="18"/>
              </w:rPr>
              <w:t>: 100 clients mouvementés, 50 nouveaux clients créés, 500 fournisseurs mouvementés, 100 nouveaux fournisseurs créés, 5 000 écritures comptables saisies, 500 immobilisations actives, 200 bons de commande, 3 000 factures fournisseurs, 100 factures clients.</w:t>
            </w:r>
            <w:r w:rsidRPr="00C57E91">
              <w:rPr>
                <w:rFonts w:eastAsia="Times New Roman" w:cs="Arial"/>
                <w:sz w:val="18"/>
              </w:rPr>
              <w:br/>
            </w:r>
            <w:r w:rsidRPr="00F50C77">
              <w:rPr>
                <w:rFonts w:eastAsia="Times New Roman" w:cs="Arial"/>
                <w:b/>
                <w:sz w:val="18"/>
              </w:rPr>
              <w:t>Valeur estimée hors TVA : fourchette: entre 300 000 et 700 000 EUR</w:t>
            </w:r>
          </w:p>
        </w:tc>
      </w:tr>
      <w:tr w:rsidR="00575320" w:rsidRPr="007B0B3F" w14:paraId="670EC14F" w14:textId="77777777" w:rsidTr="00AB4BB2">
        <w:tc>
          <w:tcPr>
            <w:tcW w:w="9918" w:type="dxa"/>
            <w:gridSpan w:val="3"/>
            <w:tcBorders>
              <w:bottom w:val="single" w:sz="4" w:space="0" w:color="auto"/>
            </w:tcBorders>
            <w:shd w:val="clear" w:color="auto" w:fill="auto"/>
            <w:vAlign w:val="center"/>
          </w:tcPr>
          <w:p w14:paraId="1756AB61" w14:textId="77777777" w:rsidR="00575320" w:rsidRPr="00C57E91" w:rsidRDefault="00575320" w:rsidP="00AB4BB2">
            <w:pPr>
              <w:shd w:val="clear" w:color="auto" w:fill="FFFFFF"/>
              <w:spacing w:line="195" w:lineRule="atLeast"/>
              <w:rPr>
                <w:rFonts w:eastAsia="Times New Roman" w:cs="Arial"/>
                <w:b/>
                <w:bCs/>
                <w:sz w:val="18"/>
              </w:rPr>
            </w:pPr>
            <w:r w:rsidRPr="00C57E91">
              <w:rPr>
                <w:rFonts w:eastAsia="Times New Roman" w:cs="Arial"/>
                <w:b/>
                <w:bCs/>
                <w:sz w:val="18"/>
              </w:rPr>
              <w:t>Section IV</w:t>
            </w:r>
            <w:r>
              <w:rPr>
                <w:rFonts w:eastAsia="Times New Roman" w:cs="Arial"/>
                <w:b/>
                <w:bCs/>
                <w:sz w:val="18"/>
              </w:rPr>
              <w:t xml:space="preserve"> </w:t>
            </w:r>
            <w:r w:rsidRPr="00C57E91">
              <w:rPr>
                <w:rFonts w:eastAsia="Times New Roman" w:cs="Arial"/>
                <w:b/>
                <w:bCs/>
                <w:sz w:val="18"/>
              </w:rPr>
              <w:t>: Procédure</w:t>
            </w:r>
          </w:p>
          <w:p w14:paraId="72F9751D" w14:textId="77777777" w:rsidR="00575320" w:rsidRPr="00B002B0" w:rsidRDefault="00575320" w:rsidP="00AB4BB2">
            <w:pPr>
              <w:spacing w:line="195" w:lineRule="atLeast"/>
              <w:rPr>
                <w:rFonts w:asciiTheme="minorHAnsi" w:eastAsiaTheme="minorHAnsi" w:hAnsiTheme="minorHAnsi" w:cstheme="minorBidi"/>
              </w:rPr>
            </w:pPr>
            <w:r w:rsidRPr="00C57E91">
              <w:rPr>
                <w:rFonts w:eastAsia="Times New Roman" w:cs="Arial"/>
                <w:b/>
                <w:sz w:val="18"/>
              </w:rPr>
              <w:t>IV.</w:t>
            </w:r>
            <w:r>
              <w:rPr>
                <w:rFonts w:eastAsia="Times New Roman" w:cs="Arial"/>
                <w:b/>
                <w:sz w:val="18"/>
              </w:rPr>
              <w:t>1</w:t>
            </w:r>
            <w:r w:rsidRPr="00C57E91">
              <w:rPr>
                <w:rFonts w:eastAsia="Times New Roman" w:cs="Arial"/>
                <w:b/>
                <w:sz w:val="18"/>
              </w:rPr>
              <w:t>) Critères d’attribution</w:t>
            </w:r>
            <w:r w:rsidRPr="00C57E91">
              <w:rPr>
                <w:rFonts w:eastAsia="Times New Roman" w:cs="Arial"/>
                <w:b/>
                <w:sz w:val="18"/>
              </w:rPr>
              <w:br/>
            </w:r>
            <w:r>
              <w:rPr>
                <w:rFonts w:eastAsia="Times New Roman" w:cs="Arial"/>
                <w:sz w:val="18"/>
              </w:rPr>
              <w:t>Offres</w:t>
            </w:r>
            <w:r w:rsidRPr="00C57E91">
              <w:rPr>
                <w:rFonts w:eastAsia="Times New Roman" w:cs="Arial"/>
                <w:sz w:val="18"/>
              </w:rPr>
              <w:t xml:space="preserve"> économiquement la plus avantageuse, appréciée en fonction des critères énoncés dans le cahier des charges, </w:t>
            </w:r>
            <w:r w:rsidRPr="00C57E91">
              <w:rPr>
                <w:rFonts w:eastAsia="Times New Roman" w:cs="Arial"/>
                <w:sz w:val="18"/>
              </w:rPr>
              <w:br/>
            </w:r>
            <w:r w:rsidRPr="00C57E91">
              <w:rPr>
                <w:rFonts w:eastAsia="Times New Roman" w:cs="Arial"/>
                <w:b/>
                <w:sz w:val="18"/>
              </w:rPr>
              <w:t>IV.</w:t>
            </w:r>
            <w:r>
              <w:rPr>
                <w:rFonts w:eastAsia="Times New Roman" w:cs="Arial"/>
                <w:b/>
                <w:sz w:val="18"/>
              </w:rPr>
              <w:t>2</w:t>
            </w:r>
            <w:r w:rsidRPr="00C57E91">
              <w:rPr>
                <w:rFonts w:eastAsia="Times New Roman" w:cs="Arial"/>
                <w:b/>
                <w:sz w:val="18"/>
              </w:rPr>
              <w:t>) Renseignements d'ordre administratif</w:t>
            </w:r>
            <w:r w:rsidRPr="00C57E91">
              <w:rPr>
                <w:rFonts w:eastAsia="Times New Roman" w:cs="Arial"/>
                <w:b/>
                <w:sz w:val="18"/>
              </w:rPr>
              <w:br/>
            </w:r>
            <w:r w:rsidRPr="00C57E91">
              <w:rPr>
                <w:rFonts w:eastAsia="Times New Roman" w:cs="Arial"/>
                <w:sz w:val="18"/>
              </w:rPr>
              <w:t>Date limite pour la réception des demandes de documents ou pour l'accès aux documents : 9.1.2015 - 16:00</w:t>
            </w:r>
            <w:r w:rsidRPr="00C57E91">
              <w:rPr>
                <w:rFonts w:eastAsia="Times New Roman" w:cs="Arial"/>
                <w:sz w:val="18"/>
              </w:rPr>
              <w:br/>
            </w:r>
            <w:r>
              <w:rPr>
                <w:rFonts w:eastAsia="Times New Roman" w:cs="Arial"/>
                <w:b/>
                <w:bCs/>
                <w:color w:val="000000"/>
                <w:sz w:val="18"/>
              </w:rPr>
              <w:t>IV.3</w:t>
            </w:r>
            <w:r w:rsidRPr="00C57E91">
              <w:rPr>
                <w:rFonts w:eastAsia="Times New Roman" w:cs="Arial"/>
                <w:b/>
                <w:bCs/>
                <w:color w:val="000000"/>
                <w:sz w:val="18"/>
              </w:rPr>
              <w:t xml:space="preserve">) Date limite de réception des </w:t>
            </w:r>
            <w:r>
              <w:rPr>
                <w:rFonts w:eastAsia="Times New Roman" w:cs="Arial"/>
                <w:b/>
                <w:bCs/>
                <w:color w:val="000000"/>
                <w:sz w:val="18"/>
              </w:rPr>
              <w:t>offres</w:t>
            </w:r>
            <w:r w:rsidRPr="00C57E91">
              <w:rPr>
                <w:rFonts w:eastAsia="Times New Roman" w:cs="Arial"/>
                <w:b/>
                <w:bCs/>
                <w:color w:val="000000"/>
                <w:sz w:val="18"/>
              </w:rPr>
              <w:t xml:space="preserve"> ou des demandes de participation</w:t>
            </w:r>
            <w:r>
              <w:rPr>
                <w:rFonts w:eastAsia="Times New Roman" w:cs="Arial"/>
                <w:b/>
                <w:bCs/>
                <w:color w:val="000000"/>
                <w:sz w:val="18"/>
              </w:rPr>
              <w:t> </w:t>
            </w:r>
            <w:r>
              <w:rPr>
                <w:rFonts w:eastAsia="Times New Roman" w:cs="Arial"/>
                <w:color w:val="000000"/>
                <w:sz w:val="18"/>
              </w:rPr>
              <w:br/>
              <w:t>16.1.2016</w:t>
            </w:r>
            <w:r w:rsidRPr="00C57E91">
              <w:rPr>
                <w:rFonts w:eastAsia="Times New Roman" w:cs="Arial"/>
                <w:color w:val="000000"/>
                <w:sz w:val="18"/>
              </w:rPr>
              <w:t xml:space="preserve"> - 16:00</w:t>
            </w:r>
            <w:r w:rsidRPr="00C57E91">
              <w:rPr>
                <w:rFonts w:eastAsia="Times New Roman" w:cs="Arial"/>
                <w:sz w:val="18"/>
              </w:rPr>
              <w:t>.</w:t>
            </w:r>
          </w:p>
        </w:tc>
      </w:tr>
    </w:tbl>
    <w:p w14:paraId="3C1AE391" w14:textId="77777777" w:rsidR="00575320" w:rsidRPr="00333637" w:rsidRDefault="00575320" w:rsidP="00575320">
      <w:pPr>
        <w:spacing w:before="240" w:after="120"/>
        <w:rPr>
          <w:b/>
          <w:sz w:val="24"/>
          <w:szCs w:val="24"/>
        </w:rPr>
      </w:pPr>
      <w:r w:rsidRPr="00333637">
        <w:rPr>
          <w:b/>
          <w:sz w:val="24"/>
          <w:szCs w:val="24"/>
        </w:rPr>
        <w:t>Annexe 2 - Critères de suivi des appels d’offres</w:t>
      </w:r>
    </w:p>
    <w:tbl>
      <w:tblPr>
        <w:tblStyle w:val="Grilledutableau"/>
        <w:tblW w:w="9918" w:type="dxa"/>
        <w:tblLook w:val="04A0" w:firstRow="1" w:lastRow="0" w:firstColumn="1" w:lastColumn="0" w:noHBand="0" w:noVBand="1"/>
      </w:tblPr>
      <w:tblGrid>
        <w:gridCol w:w="3114"/>
        <w:gridCol w:w="3685"/>
        <w:gridCol w:w="3119"/>
      </w:tblGrid>
      <w:tr w:rsidR="00575320" w:rsidRPr="00761F7F" w14:paraId="7DE2D8B7" w14:textId="77777777" w:rsidTr="00AB4BB2">
        <w:tc>
          <w:tcPr>
            <w:tcW w:w="3114" w:type="dxa"/>
            <w:shd w:val="clear" w:color="auto" w:fill="E2EFD9" w:themeFill="accent6" w:themeFillTint="33"/>
          </w:tcPr>
          <w:p w14:paraId="6E9912C8" w14:textId="77777777" w:rsidR="00575320" w:rsidRPr="00761F7F" w:rsidRDefault="00575320" w:rsidP="00AB4BB2">
            <w:pPr>
              <w:spacing w:before="60" w:after="60"/>
              <w:jc w:val="center"/>
              <w:rPr>
                <w:b/>
                <w:sz w:val="18"/>
                <w:szCs w:val="22"/>
              </w:rPr>
            </w:pPr>
            <w:r w:rsidRPr="00761F7F">
              <w:rPr>
                <w:b/>
                <w:sz w:val="18"/>
                <w:szCs w:val="22"/>
              </w:rPr>
              <w:t>Appel d’offres</w:t>
            </w:r>
          </w:p>
        </w:tc>
        <w:tc>
          <w:tcPr>
            <w:tcW w:w="3685" w:type="dxa"/>
            <w:shd w:val="clear" w:color="auto" w:fill="E2EFD9" w:themeFill="accent6" w:themeFillTint="33"/>
          </w:tcPr>
          <w:p w14:paraId="01726C16" w14:textId="77777777" w:rsidR="00575320" w:rsidRPr="00761F7F" w:rsidRDefault="00575320" w:rsidP="00AB4BB2">
            <w:pPr>
              <w:spacing w:before="60" w:after="60"/>
              <w:jc w:val="center"/>
              <w:rPr>
                <w:b/>
                <w:sz w:val="18"/>
                <w:szCs w:val="22"/>
              </w:rPr>
            </w:pPr>
            <w:r w:rsidRPr="00761F7F">
              <w:rPr>
                <w:b/>
                <w:sz w:val="18"/>
                <w:szCs w:val="22"/>
              </w:rPr>
              <w:t>Proposition</w:t>
            </w:r>
          </w:p>
        </w:tc>
        <w:tc>
          <w:tcPr>
            <w:tcW w:w="3119" w:type="dxa"/>
            <w:shd w:val="clear" w:color="auto" w:fill="E2EFD9" w:themeFill="accent6" w:themeFillTint="33"/>
          </w:tcPr>
          <w:p w14:paraId="1DA92AFC" w14:textId="77777777" w:rsidR="00575320" w:rsidRPr="00761F7F" w:rsidRDefault="00575320" w:rsidP="00AB4BB2">
            <w:pPr>
              <w:spacing w:before="60" w:after="60"/>
              <w:jc w:val="center"/>
              <w:rPr>
                <w:b/>
                <w:sz w:val="18"/>
                <w:szCs w:val="22"/>
              </w:rPr>
            </w:pPr>
            <w:r w:rsidRPr="00761F7F">
              <w:rPr>
                <w:b/>
                <w:sz w:val="18"/>
                <w:szCs w:val="22"/>
              </w:rPr>
              <w:t>Décision</w:t>
            </w:r>
          </w:p>
        </w:tc>
      </w:tr>
      <w:tr w:rsidR="00575320" w:rsidRPr="00761F7F" w14:paraId="4BBCE858" w14:textId="77777777" w:rsidTr="00AB4BB2">
        <w:tc>
          <w:tcPr>
            <w:tcW w:w="3114" w:type="dxa"/>
          </w:tcPr>
          <w:p w14:paraId="02A0E1A7"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N° avis</w:t>
            </w:r>
          </w:p>
          <w:p w14:paraId="70FD7498"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Mise en ligne</w:t>
            </w:r>
          </w:p>
          <w:p w14:paraId="466EDC83"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Ville</w:t>
            </w:r>
          </w:p>
          <w:p w14:paraId="260E70B9"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Limite réponse</w:t>
            </w:r>
          </w:p>
          <w:p w14:paraId="13072899"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Commanditaire</w:t>
            </w:r>
          </w:p>
          <w:p w14:paraId="14AD42B0"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Objet marché</w:t>
            </w:r>
          </w:p>
          <w:p w14:paraId="55E409E4"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Montant prévisionnel</w:t>
            </w:r>
          </w:p>
        </w:tc>
        <w:tc>
          <w:tcPr>
            <w:tcW w:w="3685" w:type="dxa"/>
          </w:tcPr>
          <w:p w14:paraId="285C5342"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N° interne dossier</w:t>
            </w:r>
          </w:p>
          <w:p w14:paraId="78F2E63C"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Responsable chiffrage</w:t>
            </w:r>
          </w:p>
          <w:p w14:paraId="19779525"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Date remise chiffrage</w:t>
            </w:r>
          </w:p>
          <w:p w14:paraId="1BA15DF9"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Echéance chiffrage</w:t>
            </w:r>
          </w:p>
          <w:p w14:paraId="189ECF68"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Montant proposé</w:t>
            </w:r>
          </w:p>
          <w:p w14:paraId="1F879A3B"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Date constitution dossier</w:t>
            </w:r>
          </w:p>
          <w:p w14:paraId="30348DEB"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Date remise dossier</w:t>
            </w:r>
          </w:p>
          <w:p w14:paraId="6B354AF5"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N° reçu dossier</w:t>
            </w:r>
          </w:p>
        </w:tc>
        <w:tc>
          <w:tcPr>
            <w:tcW w:w="3119" w:type="dxa"/>
          </w:tcPr>
          <w:p w14:paraId="768989FE"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Date décision</w:t>
            </w:r>
          </w:p>
          <w:p w14:paraId="157FD22F"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Nature décision</w:t>
            </w:r>
          </w:p>
          <w:p w14:paraId="63AF00C1" w14:textId="77777777" w:rsidR="00575320" w:rsidRPr="00761F7F" w:rsidRDefault="00575320" w:rsidP="00575320">
            <w:pPr>
              <w:pStyle w:val="Paragraphedeliste"/>
              <w:numPr>
                <w:ilvl w:val="0"/>
                <w:numId w:val="3"/>
              </w:numPr>
              <w:ind w:left="449" w:hanging="216"/>
              <w:jc w:val="both"/>
              <w:rPr>
                <w:sz w:val="18"/>
                <w:szCs w:val="22"/>
              </w:rPr>
            </w:pPr>
            <w:r w:rsidRPr="00761F7F">
              <w:rPr>
                <w:sz w:val="18"/>
                <w:szCs w:val="22"/>
              </w:rPr>
              <w:t>Cause échec</w:t>
            </w:r>
          </w:p>
        </w:tc>
      </w:tr>
    </w:tbl>
    <w:p w14:paraId="5CF7EC5A" w14:textId="05C02C40" w:rsidR="00312951" w:rsidRPr="0022496D" w:rsidRDefault="00575320" w:rsidP="00312951">
      <w:pPr>
        <w:spacing w:before="240" w:after="120"/>
        <w:jc w:val="both"/>
        <w:rPr>
          <w:b/>
          <w:sz w:val="24"/>
          <w:szCs w:val="24"/>
        </w:rPr>
      </w:pPr>
      <w:r>
        <w:rPr>
          <w:b/>
          <w:sz w:val="24"/>
          <w:szCs w:val="24"/>
        </w:rPr>
        <w:lastRenderedPageBreak/>
        <w:t>Réponses</w:t>
      </w:r>
    </w:p>
    <w:p w14:paraId="2E331229" w14:textId="77777777" w:rsidR="00312951" w:rsidRDefault="00312951" w:rsidP="00575320">
      <w:pPr>
        <w:pStyle w:val="Paragraphedeliste"/>
        <w:numPr>
          <w:ilvl w:val="0"/>
          <w:numId w:val="4"/>
        </w:numPr>
        <w:spacing w:line="276" w:lineRule="auto"/>
        <w:jc w:val="both"/>
        <w:rPr>
          <w:b/>
          <w:szCs w:val="24"/>
        </w:rPr>
      </w:pPr>
      <w:r w:rsidRPr="00F50C77">
        <w:rPr>
          <w:b/>
          <w:szCs w:val="24"/>
        </w:rPr>
        <w:t>Rédige</w:t>
      </w:r>
      <w:r>
        <w:rPr>
          <w:b/>
          <w:szCs w:val="24"/>
        </w:rPr>
        <w:t>z</w:t>
      </w:r>
      <w:r w:rsidRPr="00F50C77">
        <w:rPr>
          <w:b/>
          <w:szCs w:val="24"/>
        </w:rPr>
        <w:t xml:space="preserve"> la lettre de demande de dossier auprès de l’organisme compétent</w:t>
      </w:r>
      <w:r>
        <w:rPr>
          <w:b/>
          <w:szCs w:val="24"/>
        </w:rPr>
        <w:t xml:space="preserve"> (le 15 décembre)</w:t>
      </w:r>
    </w:p>
    <w:p w14:paraId="784C8416" w14:textId="77777777" w:rsidR="00312951" w:rsidRPr="00312951" w:rsidRDefault="00312951" w:rsidP="00312951">
      <w:pPr>
        <w:spacing w:line="276" w:lineRule="auto"/>
        <w:jc w:val="both"/>
        <w:rPr>
          <w:b/>
          <w:szCs w:val="24"/>
        </w:rPr>
      </w:pPr>
    </w:p>
    <w:p w14:paraId="2A742DFD" w14:textId="539F1DC5" w:rsidR="00312951" w:rsidRDefault="00312951" w:rsidP="00575320">
      <w:pPr>
        <w:pStyle w:val="Paragraphedeliste"/>
        <w:numPr>
          <w:ilvl w:val="0"/>
          <w:numId w:val="4"/>
        </w:numPr>
        <w:spacing w:line="276" w:lineRule="auto"/>
        <w:jc w:val="both"/>
        <w:rPr>
          <w:b/>
          <w:szCs w:val="24"/>
        </w:rPr>
      </w:pPr>
      <w:r w:rsidRPr="00F50C77">
        <w:rPr>
          <w:b/>
          <w:szCs w:val="24"/>
        </w:rPr>
        <w:t>Transmett</w:t>
      </w:r>
      <w:r>
        <w:rPr>
          <w:b/>
          <w:szCs w:val="24"/>
        </w:rPr>
        <w:t>ez</w:t>
      </w:r>
      <w:r w:rsidRPr="00F50C77">
        <w:rPr>
          <w:b/>
          <w:szCs w:val="24"/>
        </w:rPr>
        <w:t xml:space="preserve"> le courrier au directeur commercial, M</w:t>
      </w:r>
      <w:r>
        <w:rPr>
          <w:b/>
          <w:szCs w:val="24"/>
        </w:rPr>
        <w:t xml:space="preserve">. </w:t>
      </w:r>
      <w:r w:rsidRPr="00F50C77">
        <w:rPr>
          <w:b/>
          <w:szCs w:val="24"/>
        </w:rPr>
        <w:t xml:space="preserve">Coupert </w:t>
      </w:r>
      <w:r>
        <w:rPr>
          <w:b/>
          <w:szCs w:val="24"/>
        </w:rPr>
        <w:t xml:space="preserve">(le 20 décembre) </w:t>
      </w:r>
      <w:r w:rsidRPr="00F50C77">
        <w:rPr>
          <w:b/>
          <w:szCs w:val="24"/>
        </w:rPr>
        <w:t xml:space="preserve">pour qu’il prenne les dispositions </w:t>
      </w:r>
      <w:r>
        <w:rPr>
          <w:b/>
          <w:szCs w:val="24"/>
        </w:rPr>
        <w:t>nécessaires</w:t>
      </w:r>
      <w:r w:rsidRPr="00F50C77">
        <w:rPr>
          <w:b/>
          <w:szCs w:val="24"/>
        </w:rPr>
        <w:t xml:space="preserve"> </w:t>
      </w:r>
      <w:r>
        <w:rPr>
          <w:b/>
          <w:szCs w:val="24"/>
        </w:rPr>
        <w:t xml:space="preserve">à la réponse à </w:t>
      </w:r>
      <w:r w:rsidRPr="00F50C77">
        <w:rPr>
          <w:b/>
          <w:szCs w:val="24"/>
        </w:rPr>
        <w:t>cet appel d’</w:t>
      </w:r>
      <w:r>
        <w:rPr>
          <w:b/>
          <w:szCs w:val="24"/>
        </w:rPr>
        <w:t xml:space="preserve">offres avant le 31 décembre. </w:t>
      </w:r>
    </w:p>
    <w:p w14:paraId="0614596A" w14:textId="77777777" w:rsidR="00575320" w:rsidRPr="00575320" w:rsidRDefault="00575320" w:rsidP="00575320">
      <w:pPr>
        <w:pStyle w:val="Paragraphedeliste"/>
        <w:rPr>
          <w:b/>
          <w:szCs w:val="24"/>
        </w:rPr>
      </w:pPr>
    </w:p>
    <w:p w14:paraId="1A45E2A3" w14:textId="77777777" w:rsidR="00575320" w:rsidRDefault="00575320" w:rsidP="00575320">
      <w:pPr>
        <w:pStyle w:val="Paragraphedeliste"/>
        <w:spacing w:line="276" w:lineRule="auto"/>
        <w:ind w:left="360"/>
        <w:jc w:val="both"/>
        <w:rPr>
          <w:b/>
          <w:szCs w:val="24"/>
        </w:rPr>
      </w:pPr>
    </w:p>
    <w:p w14:paraId="1C5F6B4F" w14:textId="6DCD0789" w:rsidR="00312951" w:rsidRDefault="00312951" w:rsidP="00575320">
      <w:pPr>
        <w:pStyle w:val="Paragraphedeliste"/>
        <w:numPr>
          <w:ilvl w:val="0"/>
          <w:numId w:val="4"/>
        </w:numPr>
        <w:spacing w:line="276" w:lineRule="auto"/>
        <w:jc w:val="both"/>
        <w:rPr>
          <w:b/>
          <w:szCs w:val="24"/>
        </w:rPr>
      </w:pPr>
      <w:r w:rsidRPr="00F50C77">
        <w:rPr>
          <w:b/>
          <w:szCs w:val="24"/>
        </w:rPr>
        <w:t>Concev</w:t>
      </w:r>
      <w:r>
        <w:rPr>
          <w:b/>
          <w:szCs w:val="24"/>
        </w:rPr>
        <w:t>ez</w:t>
      </w:r>
      <w:r w:rsidRPr="00F50C77">
        <w:rPr>
          <w:b/>
          <w:szCs w:val="24"/>
        </w:rPr>
        <w:t xml:space="preserve"> un tableau de suivi des appels d’</w:t>
      </w:r>
      <w:r>
        <w:rPr>
          <w:b/>
          <w:szCs w:val="24"/>
        </w:rPr>
        <w:t>offres</w:t>
      </w:r>
      <w:r w:rsidRPr="00F50C77">
        <w:rPr>
          <w:b/>
          <w:szCs w:val="24"/>
        </w:rPr>
        <w:t xml:space="preserve"> et saisi</w:t>
      </w:r>
      <w:r>
        <w:rPr>
          <w:b/>
          <w:szCs w:val="24"/>
        </w:rPr>
        <w:t>ssez-y</w:t>
      </w:r>
      <w:r w:rsidRPr="00F50C77">
        <w:rPr>
          <w:b/>
          <w:szCs w:val="24"/>
        </w:rPr>
        <w:t xml:space="preserve"> l’appel d’</w:t>
      </w:r>
      <w:r>
        <w:rPr>
          <w:b/>
          <w:szCs w:val="24"/>
        </w:rPr>
        <w:t>offres</w:t>
      </w:r>
      <w:r w:rsidRPr="00F50C77">
        <w:rPr>
          <w:b/>
          <w:szCs w:val="24"/>
        </w:rPr>
        <w:t xml:space="preserve"> </w:t>
      </w:r>
      <w:r>
        <w:rPr>
          <w:b/>
          <w:szCs w:val="24"/>
        </w:rPr>
        <w:t>remis en annexe 1</w:t>
      </w:r>
      <w:r w:rsidRPr="00F50C77">
        <w:rPr>
          <w:b/>
          <w:szCs w:val="24"/>
        </w:rPr>
        <w:t> </w:t>
      </w:r>
      <w:r>
        <w:rPr>
          <w:b/>
          <w:szCs w:val="24"/>
        </w:rPr>
        <w:t>(</w:t>
      </w:r>
      <w:r w:rsidR="00575320">
        <w:rPr>
          <w:b/>
          <w:szCs w:val="24"/>
        </w:rPr>
        <w:t>n</w:t>
      </w:r>
      <w:r>
        <w:rPr>
          <w:b/>
          <w:szCs w:val="24"/>
        </w:rPr>
        <w:t>uméro interne : 01-20</w:t>
      </w:r>
      <w:r w:rsidR="00575320">
        <w:rPr>
          <w:b/>
          <w:szCs w:val="24"/>
        </w:rPr>
        <w:t>23</w:t>
      </w:r>
      <w:r>
        <w:rPr>
          <w:b/>
          <w:szCs w:val="24"/>
        </w:rPr>
        <w:t>).</w:t>
      </w:r>
    </w:p>
    <w:p w14:paraId="00508F67" w14:textId="77777777" w:rsidR="00575320" w:rsidRDefault="00575320" w:rsidP="00575320">
      <w:pPr>
        <w:pStyle w:val="Paragraphedeliste"/>
        <w:spacing w:line="276" w:lineRule="auto"/>
        <w:ind w:left="360"/>
        <w:jc w:val="both"/>
        <w:rPr>
          <w:b/>
          <w:szCs w:val="24"/>
        </w:rPr>
      </w:pPr>
    </w:p>
    <w:p w14:paraId="250A9908" w14:textId="77777777" w:rsidR="00312951" w:rsidRPr="00F50C77" w:rsidRDefault="00312951" w:rsidP="00575320">
      <w:pPr>
        <w:pStyle w:val="Paragraphedeliste"/>
        <w:numPr>
          <w:ilvl w:val="0"/>
          <w:numId w:val="4"/>
        </w:numPr>
        <w:spacing w:line="276" w:lineRule="auto"/>
        <w:jc w:val="both"/>
        <w:rPr>
          <w:b/>
          <w:szCs w:val="24"/>
        </w:rPr>
      </w:pPr>
      <w:r>
        <w:rPr>
          <w:b/>
          <w:szCs w:val="24"/>
        </w:rPr>
        <w:t>Mettez à jour le tableau : le dossier a été complété le 5 janvier. Le montant prévu est de 310 000 €. Il a été envoyé le 7 janvier. Le reçus de dépôt porte le numéro LTF 210.</w:t>
      </w:r>
    </w:p>
    <w:p w14:paraId="1067BB32" w14:textId="77777777" w:rsidR="00312951" w:rsidRPr="00312951" w:rsidRDefault="00312951" w:rsidP="00312951"/>
    <w:sectPr w:rsidR="00312951" w:rsidRPr="00312951" w:rsidSect="00575320">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00F"/>
    <w:multiLevelType w:val="hybridMultilevel"/>
    <w:tmpl w:val="90F6C8D4"/>
    <w:lvl w:ilvl="0" w:tplc="808038D0">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DDC395F"/>
    <w:multiLevelType w:val="hybridMultilevel"/>
    <w:tmpl w:val="0486FC5C"/>
    <w:lvl w:ilvl="0" w:tplc="7220AE92">
      <w:start w:val="1"/>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F9C6A53"/>
    <w:multiLevelType w:val="hybridMultilevel"/>
    <w:tmpl w:val="5F84A350"/>
    <w:lvl w:ilvl="0" w:tplc="EC8423F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92783307">
    <w:abstractNumId w:val="0"/>
  </w:num>
  <w:num w:numId="2" w16cid:durableId="1966306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122177">
    <w:abstractNumId w:val="2"/>
  </w:num>
  <w:num w:numId="4" w16cid:durableId="64994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B8"/>
    <w:rsid w:val="000F4D6D"/>
    <w:rsid w:val="00312951"/>
    <w:rsid w:val="003C06C4"/>
    <w:rsid w:val="004108A2"/>
    <w:rsid w:val="00575320"/>
    <w:rsid w:val="00593669"/>
    <w:rsid w:val="00614789"/>
    <w:rsid w:val="006A180C"/>
    <w:rsid w:val="00944A38"/>
    <w:rsid w:val="00BF37FA"/>
    <w:rsid w:val="00C136B8"/>
    <w:rsid w:val="00D3116D"/>
    <w:rsid w:val="00DA2D1D"/>
    <w:rsid w:val="00E80B0D"/>
    <w:rsid w:val="00E93383"/>
    <w:rsid w:val="00F85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A06D"/>
  <w15:chartTrackingRefBased/>
  <w15:docId w15:val="{2CA6064A-67CF-4CF9-81A3-4F9A4274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B8"/>
    <w:pPr>
      <w:spacing w:after="0" w:line="240" w:lineRule="auto"/>
    </w:pPr>
    <w:rPr>
      <w:rFonts w:ascii="Arial" w:eastAsia="Calibri" w:hAnsi="Arial" w:cs="Times New Roman"/>
    </w:rPr>
  </w:style>
  <w:style w:type="paragraph" w:styleId="Titre2">
    <w:name w:val="heading 2"/>
    <w:basedOn w:val="Normal"/>
    <w:link w:val="Titre2Car"/>
    <w:uiPriority w:val="9"/>
    <w:qFormat/>
    <w:rsid w:val="00C136B8"/>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136B8"/>
    <w:rPr>
      <w:rFonts w:ascii="Arial" w:eastAsia="Times New Roman" w:hAnsi="Arial" w:cs="Arial"/>
      <w:b/>
      <w:color w:val="000000"/>
      <w:sz w:val="28"/>
      <w:szCs w:val="20"/>
      <w:lang w:eastAsia="fr-FR"/>
    </w:rPr>
  </w:style>
  <w:style w:type="table" w:styleId="Grilledutableau">
    <w:name w:val="Table Grid"/>
    <w:basedOn w:val="TableauNormal"/>
    <w:uiPriority w:val="59"/>
    <w:rsid w:val="00C136B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36B8"/>
    <w:pPr>
      <w:ind w:left="720"/>
      <w:contextualSpacing/>
    </w:pPr>
  </w:style>
  <w:style w:type="paragraph" w:customStyle="1" w:styleId="Pa16">
    <w:name w:val="Pa16"/>
    <w:basedOn w:val="Normal"/>
    <w:next w:val="Normal"/>
    <w:uiPriority w:val="99"/>
    <w:rsid w:val="00D3116D"/>
    <w:pPr>
      <w:autoSpaceDE w:val="0"/>
      <w:autoSpaceDN w:val="0"/>
      <w:adjustRightInd w:val="0"/>
      <w:spacing w:line="211" w:lineRule="atLeast"/>
    </w:pPr>
    <w:rPr>
      <w:rFonts w:ascii="Myriad Pro" w:eastAsiaTheme="minorHAnsi" w:hAnsi="Myriad Pro" w:cstheme="minorBidi"/>
      <w:sz w:val="24"/>
      <w:szCs w:val="24"/>
    </w:rPr>
  </w:style>
  <w:style w:type="character" w:styleId="Lienhypertexte">
    <w:name w:val="Hyperlink"/>
    <w:basedOn w:val="Policepardfaut"/>
    <w:uiPriority w:val="99"/>
    <w:semiHidden/>
    <w:unhideWhenUsed/>
    <w:rsid w:val="006A180C"/>
    <w:rPr>
      <w:color w:val="0000FF"/>
      <w:u w:val="single"/>
    </w:rPr>
  </w:style>
  <w:style w:type="paragraph" w:customStyle="1" w:styleId="texte">
    <w:name w:val="texte"/>
    <w:basedOn w:val="Normal"/>
    <w:uiPriority w:val="99"/>
    <w:rsid w:val="005753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jc w:val="both"/>
      <w:textAlignment w:val="center"/>
    </w:pPr>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630</Words>
  <Characters>3469</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2014-12-17T15:05:00Z</dcterms:created>
  <dcterms:modified xsi:type="dcterms:W3CDTF">2023-01-05T22:59:00Z</dcterms:modified>
</cp:coreProperties>
</file>