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2D050"/>
        <w:tblLook w:val="04A0" w:firstRow="1" w:lastRow="0" w:firstColumn="1" w:lastColumn="0" w:noHBand="0" w:noVBand="1"/>
      </w:tblPr>
      <w:tblGrid>
        <w:gridCol w:w="1413"/>
        <w:gridCol w:w="6946"/>
        <w:gridCol w:w="1726"/>
      </w:tblGrid>
      <w:tr w:rsidR="00025AB6" w:rsidRPr="00C22356" w14:paraId="46E1B138" w14:textId="77777777" w:rsidTr="00A35117">
        <w:trPr>
          <w:trHeight w:val="386"/>
        </w:trPr>
        <w:tc>
          <w:tcPr>
            <w:tcW w:w="8359" w:type="dxa"/>
            <w:gridSpan w:val="2"/>
            <w:shd w:val="clear" w:color="auto" w:fill="92D050"/>
            <w:vAlign w:val="center"/>
          </w:tcPr>
          <w:p w14:paraId="6843E930" w14:textId="77777777" w:rsidR="00025AB6" w:rsidRPr="005B334D" w:rsidRDefault="00025AB6" w:rsidP="00A35117">
            <w:pPr>
              <w:pStyle w:val="Titre2"/>
              <w:jc w:val="center"/>
              <w:rPr>
                <w:rFonts w:ascii="Arial" w:hAnsi="Arial"/>
              </w:rPr>
            </w:pPr>
            <w:bookmarkStart w:id="0" w:name="_Hlk26573767"/>
            <w:r w:rsidRPr="005B334D">
              <w:rPr>
                <w:rFonts w:ascii="Arial" w:hAnsi="Arial"/>
              </w:rPr>
              <w:t>Mission 24 – Editer une balance âgée</w:t>
            </w:r>
          </w:p>
        </w:tc>
        <w:tc>
          <w:tcPr>
            <w:tcW w:w="1726" w:type="dxa"/>
            <w:shd w:val="clear" w:color="auto" w:fill="92D050"/>
            <w:vAlign w:val="center"/>
          </w:tcPr>
          <w:p w14:paraId="1055CE8D" w14:textId="77777777" w:rsidR="00025AB6" w:rsidRPr="00C22356" w:rsidRDefault="00025AB6" w:rsidP="00A35117">
            <w:pPr>
              <w:jc w:val="center"/>
              <w:rPr>
                <w:b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75F05A80" wp14:editId="20CCD205">
                  <wp:extent cx="941802" cy="817418"/>
                  <wp:effectExtent l="0" t="0" r="0" b="1905"/>
                  <wp:docPr id="448" name="Image 448" descr="C:\Users\cterrier lenovo\Documents\2-Casteilla\Cegid PGI\pratique cegid business\CD Cegid\Sequences et ressources complémentaires\Photos\cadrien\logocadrien-couleur 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terrier lenovo\Documents\2-Casteilla\Cegid PGI\pratique cegid business\CD Cegid\Sequences et ressources complémentaires\Photos\cadrien\logocadrien-couleur 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1824" cy="8174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5AB6" w:rsidRPr="00C22356" w14:paraId="02C7E104" w14:textId="77777777" w:rsidTr="00A35117">
        <w:trPr>
          <w:trHeight w:val="386"/>
        </w:trPr>
        <w:tc>
          <w:tcPr>
            <w:tcW w:w="1413" w:type="dxa"/>
            <w:shd w:val="clear" w:color="auto" w:fill="92D050"/>
            <w:vAlign w:val="center"/>
          </w:tcPr>
          <w:p w14:paraId="5B587B72" w14:textId="77777777" w:rsidR="00025AB6" w:rsidRPr="00CE3E4B" w:rsidRDefault="00025AB6" w:rsidP="00A35117">
            <w:pPr>
              <w:jc w:val="left"/>
            </w:pPr>
            <w:r>
              <w:t>Durée : 20’</w:t>
            </w:r>
          </w:p>
        </w:tc>
        <w:tc>
          <w:tcPr>
            <w:tcW w:w="6946" w:type="dxa"/>
            <w:shd w:val="clear" w:color="auto" w:fill="92D050"/>
          </w:tcPr>
          <w:p w14:paraId="6C84B6E7" w14:textId="77777777" w:rsidR="00025AB6" w:rsidRPr="00CE3E4B" w:rsidRDefault="00025AB6" w:rsidP="00A3511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CA1C47C" wp14:editId="14FBAB81">
                  <wp:extent cx="324000" cy="324000"/>
                  <wp:effectExtent l="0" t="0" r="0" b="0"/>
                  <wp:docPr id="2" name="Graphique 2" descr="Homm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que 2" descr="Homme avec un remplissage uni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6" w:type="dxa"/>
            <w:shd w:val="clear" w:color="auto" w:fill="92D050"/>
            <w:vAlign w:val="center"/>
          </w:tcPr>
          <w:p w14:paraId="3A69AABD" w14:textId="77777777" w:rsidR="00025AB6" w:rsidRPr="008A7098" w:rsidRDefault="00025AB6" w:rsidP="00A35117">
            <w:pPr>
              <w:jc w:val="center"/>
              <w:rPr>
                <w:bCs/>
              </w:rPr>
            </w:pPr>
            <w:r w:rsidRPr="008A7098">
              <w:rPr>
                <w:bCs/>
              </w:rPr>
              <w:t>Source</w:t>
            </w:r>
          </w:p>
        </w:tc>
      </w:tr>
    </w:tbl>
    <w:p w14:paraId="49100D73" w14:textId="77777777" w:rsidR="00025AB6" w:rsidRPr="001A3F42" w:rsidRDefault="00025AB6" w:rsidP="00025AB6">
      <w:pPr>
        <w:spacing w:before="360" w:after="120"/>
        <w:rPr>
          <w:b/>
          <w:sz w:val="28"/>
          <w:szCs w:val="24"/>
        </w:rPr>
      </w:pPr>
      <w:r w:rsidRPr="001A3F42">
        <w:rPr>
          <w:b/>
          <w:sz w:val="28"/>
          <w:szCs w:val="24"/>
        </w:rPr>
        <w:t>Contexte professionnel</w:t>
      </w:r>
    </w:p>
    <w:p w14:paraId="07E0DB10" w14:textId="77777777" w:rsidR="00025AB6" w:rsidRDefault="00025AB6" w:rsidP="00025AB6">
      <w:pPr>
        <w:spacing w:before="120"/>
      </w:pPr>
      <w:r>
        <w:t>L’entreprise souhaite connaître l’échéance des factures clients et fournisseurs.</w:t>
      </w:r>
    </w:p>
    <w:p w14:paraId="5840969B" w14:textId="77777777" w:rsidR="00025AB6" w:rsidRDefault="00025AB6" w:rsidP="00025AB6">
      <w:pPr>
        <w:spacing w:before="120"/>
      </w:pPr>
      <w:r>
        <w:t xml:space="preserve"> </w:t>
      </w:r>
    </w:p>
    <w:p w14:paraId="40DE8F13" w14:textId="77777777" w:rsidR="00025AB6" w:rsidRDefault="00025AB6" w:rsidP="00025AB6">
      <w:pPr>
        <w:spacing w:before="120" w:after="120"/>
        <w:rPr>
          <w:b/>
          <w:sz w:val="28"/>
          <w:szCs w:val="24"/>
        </w:rPr>
      </w:pPr>
      <w:r w:rsidRPr="001A3F42">
        <w:rPr>
          <w:b/>
          <w:sz w:val="28"/>
          <w:szCs w:val="24"/>
        </w:rPr>
        <w:t>Travail à faire</w:t>
      </w:r>
    </w:p>
    <w:p w14:paraId="3523B2C8" w14:textId="77777777" w:rsidR="00025AB6" w:rsidRPr="00AF10C6" w:rsidRDefault="00025AB6" w:rsidP="00025AB6">
      <w:pPr>
        <w:rPr>
          <w:i/>
          <w:iCs/>
        </w:rPr>
      </w:pPr>
      <w:r w:rsidRPr="00AF10C6">
        <w:rPr>
          <w:i/>
          <w:iCs/>
        </w:rPr>
        <w:t>Cette fonction n’est performante que si vous avez paramétr</w:t>
      </w:r>
      <w:r>
        <w:rPr>
          <w:i/>
          <w:iCs/>
        </w:rPr>
        <w:t>é</w:t>
      </w:r>
      <w:r w:rsidRPr="00AF10C6">
        <w:rPr>
          <w:i/>
          <w:iCs/>
        </w:rPr>
        <w:t xml:space="preserve"> les échéances</w:t>
      </w:r>
      <w:r>
        <w:rPr>
          <w:i/>
          <w:iCs/>
        </w:rPr>
        <w:t xml:space="preserve"> </w:t>
      </w:r>
      <w:r w:rsidRPr="00AF10C6">
        <w:rPr>
          <w:i/>
          <w:iCs/>
        </w:rPr>
        <w:t>des factures lors de leurs saisies</w:t>
      </w:r>
      <w:r>
        <w:rPr>
          <w:i/>
          <w:iCs/>
        </w:rPr>
        <w:t>. Sans quoi elle éditera uniquement les factures non soldées sans la planification des dates.</w:t>
      </w:r>
    </w:p>
    <w:p w14:paraId="358E6532" w14:textId="77777777" w:rsidR="00025AB6" w:rsidRPr="001A3F42" w:rsidRDefault="00025AB6" w:rsidP="00025AB6"/>
    <w:p w14:paraId="32CCEE08" w14:textId="77777777" w:rsidR="00025AB6" w:rsidRPr="000521D2" w:rsidRDefault="00025AB6" w:rsidP="00025AB6">
      <w:pPr>
        <w:rPr>
          <w:lang w:val="en-US"/>
        </w:rPr>
      </w:pPr>
      <w:r>
        <w:t xml:space="preserve">1. </w:t>
      </w:r>
      <w:r>
        <w:rPr>
          <w:rFonts w:cs="Arial"/>
        </w:rPr>
        <w:t>É</w:t>
      </w:r>
      <w:r>
        <w:t>ditez la balance âgée de l’entreprise.</w:t>
      </w:r>
    </w:p>
    <w:p w14:paraId="7AD46B97" w14:textId="77777777" w:rsidR="00025AB6" w:rsidRDefault="00025AB6" w:rsidP="00025AB6">
      <w:pPr>
        <w:jc w:val="left"/>
      </w:pPr>
    </w:p>
    <w:p w14:paraId="42307305" w14:textId="77777777" w:rsidR="00025AB6" w:rsidRDefault="00025AB6" w:rsidP="00025AB6">
      <w:pPr>
        <w:jc w:val="left"/>
      </w:pPr>
    </w:p>
    <w:p w14:paraId="57B967B3" w14:textId="77777777" w:rsidR="00025AB6" w:rsidRDefault="00025AB6" w:rsidP="00025AB6">
      <w:pPr>
        <w:jc w:val="left"/>
      </w:pPr>
    </w:p>
    <w:p w14:paraId="7ECC128B" w14:textId="77777777" w:rsidR="00025AB6" w:rsidRDefault="00025AB6" w:rsidP="00025AB6">
      <w:pPr>
        <w:jc w:val="left"/>
      </w:pPr>
    </w:p>
    <w:p w14:paraId="6047CB76" w14:textId="77777777" w:rsidR="0024640B" w:rsidRDefault="0024640B" w:rsidP="0024640B">
      <w:pPr>
        <w:rPr>
          <w:sz w:val="24"/>
          <w:szCs w:val="24"/>
        </w:rPr>
      </w:pPr>
    </w:p>
    <w:p w14:paraId="3D55672D" w14:textId="77777777" w:rsidR="0024640B" w:rsidRDefault="0024640B" w:rsidP="0024640B">
      <w:pPr>
        <w:rPr>
          <w:sz w:val="24"/>
          <w:szCs w:val="24"/>
        </w:rPr>
      </w:pPr>
    </w:p>
    <w:bookmarkEnd w:id="0"/>
    <w:p w14:paraId="1064061D" w14:textId="77777777" w:rsidR="0024640B" w:rsidRDefault="0024640B" w:rsidP="0024640B">
      <w:pPr>
        <w:rPr>
          <w:sz w:val="24"/>
          <w:szCs w:val="24"/>
        </w:rPr>
      </w:pPr>
    </w:p>
    <w:p w14:paraId="684B3510" w14:textId="77777777" w:rsidR="0024640B" w:rsidRDefault="0024640B" w:rsidP="0024640B">
      <w:pPr>
        <w:rPr>
          <w:sz w:val="24"/>
          <w:szCs w:val="24"/>
        </w:rPr>
      </w:pPr>
    </w:p>
    <w:p w14:paraId="6F83A9E6" w14:textId="77777777" w:rsidR="00B0141A" w:rsidRDefault="00B0141A" w:rsidP="00B0141A">
      <w:pPr>
        <w:jc w:val="left"/>
      </w:pPr>
    </w:p>
    <w:p w14:paraId="2919D292" w14:textId="77777777" w:rsidR="00B0141A" w:rsidRDefault="00B0141A" w:rsidP="00B0141A">
      <w:pPr>
        <w:rPr>
          <w:sz w:val="24"/>
          <w:szCs w:val="24"/>
        </w:rPr>
      </w:pPr>
    </w:p>
    <w:p w14:paraId="5EAFE1CF" w14:textId="77777777" w:rsidR="00B0141A" w:rsidRDefault="00B0141A" w:rsidP="00B0141A">
      <w:pPr>
        <w:rPr>
          <w:sz w:val="24"/>
          <w:szCs w:val="24"/>
        </w:rPr>
      </w:pPr>
    </w:p>
    <w:p w14:paraId="140D9E55" w14:textId="77777777" w:rsidR="001B014B" w:rsidRPr="00957D61" w:rsidRDefault="001B014B" w:rsidP="00957D61"/>
    <w:sectPr w:rsidR="001B014B" w:rsidRPr="00957D61" w:rsidSect="001463AD">
      <w:pgSz w:w="11906" w:h="16838"/>
      <w:pgMar w:top="851" w:right="73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  Regular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77355"/>
    <w:multiLevelType w:val="hybridMultilevel"/>
    <w:tmpl w:val="5CB88504"/>
    <w:lvl w:ilvl="0" w:tplc="3C0A93EC">
      <w:start w:val="5"/>
      <w:numFmt w:val="bullet"/>
      <w:lvlText w:val="-"/>
      <w:lvlJc w:val="left"/>
      <w:pPr>
        <w:ind w:left="382" w:hanging="360"/>
      </w:pPr>
      <w:rPr>
        <w:rFonts w:ascii="Arial Narrow  Regular" w:eastAsia="Calibri" w:hAnsi="Arial Narrow  Regular" w:cs="Arial Narrow  Regular" w:hint="default"/>
      </w:rPr>
    </w:lvl>
    <w:lvl w:ilvl="1" w:tplc="040C0003" w:tentative="1">
      <w:start w:val="1"/>
      <w:numFmt w:val="bullet"/>
      <w:lvlText w:val="o"/>
      <w:lvlJc w:val="left"/>
      <w:pPr>
        <w:ind w:left="110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2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4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6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8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0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2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42" w:hanging="360"/>
      </w:pPr>
      <w:rPr>
        <w:rFonts w:ascii="Wingdings" w:hAnsi="Wingdings" w:hint="default"/>
      </w:rPr>
    </w:lvl>
  </w:abstractNum>
  <w:num w:numId="1" w16cid:durableId="17156216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3AD"/>
    <w:rsid w:val="00025AB6"/>
    <w:rsid w:val="001463AD"/>
    <w:rsid w:val="001B014B"/>
    <w:rsid w:val="0024640B"/>
    <w:rsid w:val="00426E72"/>
    <w:rsid w:val="00744B11"/>
    <w:rsid w:val="007F3586"/>
    <w:rsid w:val="00957D61"/>
    <w:rsid w:val="00B01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6EF59"/>
  <w15:chartTrackingRefBased/>
  <w15:docId w15:val="{9EAE4399-F610-4BF0-A795-CBAD74DE8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63AD"/>
    <w:pPr>
      <w:spacing w:after="0" w:line="240" w:lineRule="auto"/>
      <w:jc w:val="both"/>
    </w:pPr>
    <w:rPr>
      <w:rFonts w:ascii="Arial" w:eastAsia="Calibri" w:hAnsi="Arial" w:cs="Times New Roman"/>
      <w:sz w:val="20"/>
    </w:rPr>
  </w:style>
  <w:style w:type="paragraph" w:styleId="Titre2">
    <w:name w:val="heading 2"/>
    <w:basedOn w:val="Normal"/>
    <w:link w:val="Titre2Car"/>
    <w:qFormat/>
    <w:rsid w:val="001463AD"/>
    <w:pPr>
      <w:spacing w:after="120"/>
      <w:outlineLvl w:val="1"/>
    </w:pPr>
    <w:rPr>
      <w:rFonts w:ascii="Arial Black" w:eastAsia="Times New Roman" w:hAnsi="Arial Black" w:cs="Arial"/>
      <w:b/>
      <w:color w:val="000000"/>
      <w:sz w:val="28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1463AD"/>
    <w:rPr>
      <w:rFonts w:ascii="Arial Black" w:eastAsia="Times New Roman" w:hAnsi="Arial Black" w:cs="Arial"/>
      <w:b/>
      <w:color w:val="000000"/>
      <w:sz w:val="28"/>
      <w:szCs w:val="20"/>
      <w:lang w:eastAsia="fr-FR"/>
    </w:rPr>
  </w:style>
  <w:style w:type="table" w:styleId="Grilledutableau">
    <w:name w:val="Table Grid"/>
    <w:basedOn w:val="TableauNormal"/>
    <w:uiPriority w:val="59"/>
    <w:rsid w:val="001463A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1463AD"/>
    <w:pPr>
      <w:ind w:left="720"/>
      <w:contextualSpacing/>
    </w:pPr>
  </w:style>
  <w:style w:type="character" w:styleId="Lienhypertexte">
    <w:name w:val="Hyperlink"/>
    <w:uiPriority w:val="99"/>
    <w:unhideWhenUsed/>
    <w:rsid w:val="00957D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sv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374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7</cp:revision>
  <dcterms:created xsi:type="dcterms:W3CDTF">2019-11-18T09:53:00Z</dcterms:created>
  <dcterms:modified xsi:type="dcterms:W3CDTF">2023-03-20T21:27:00Z</dcterms:modified>
</cp:coreProperties>
</file>