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555"/>
        <w:gridCol w:w="7087"/>
        <w:gridCol w:w="1418"/>
      </w:tblGrid>
      <w:tr w:rsidR="00173CBF" w:rsidRPr="00C22356" w14:paraId="0FD03548" w14:textId="77777777" w:rsidTr="0090196B">
        <w:trPr>
          <w:trHeight w:val="386"/>
        </w:trPr>
        <w:tc>
          <w:tcPr>
            <w:tcW w:w="10060" w:type="dxa"/>
            <w:gridSpan w:val="3"/>
            <w:shd w:val="clear" w:color="auto" w:fill="FFFF00"/>
          </w:tcPr>
          <w:p w14:paraId="2E2D02C6" w14:textId="77777777" w:rsidR="00173CBF" w:rsidRPr="002E5FB9" w:rsidRDefault="00173CBF" w:rsidP="0090196B">
            <w:pPr>
              <w:pStyle w:val="Titre2"/>
              <w:spacing w:before="120"/>
              <w:jc w:val="center"/>
              <w:rPr>
                <w:szCs w:val="22"/>
              </w:rPr>
            </w:pPr>
            <w:r w:rsidRPr="002E5FB9">
              <w:rPr>
                <w:szCs w:val="22"/>
              </w:rPr>
              <w:t xml:space="preserve">Réflexion </w:t>
            </w:r>
            <w:r>
              <w:rPr>
                <w:szCs w:val="22"/>
              </w:rPr>
              <w:t>2</w:t>
            </w:r>
            <w:r w:rsidRPr="002E5FB9">
              <w:rPr>
                <w:szCs w:val="22"/>
              </w:rPr>
              <w:t xml:space="preserve"> </w:t>
            </w:r>
            <w:r>
              <w:rPr>
                <w:szCs w:val="22"/>
              </w:rPr>
              <w:t>–</w:t>
            </w:r>
            <w:r w:rsidRPr="002E5FB9">
              <w:rPr>
                <w:szCs w:val="22"/>
              </w:rPr>
              <w:t xml:space="preserve"> </w:t>
            </w:r>
            <w:r>
              <w:rPr>
                <w:szCs w:val="22"/>
              </w:rPr>
              <w:t>Comment lutter contre les retards de paiement</w:t>
            </w:r>
          </w:p>
        </w:tc>
      </w:tr>
      <w:tr w:rsidR="00173CBF" w:rsidRPr="00173CBF" w14:paraId="062AD9E0" w14:textId="77777777" w:rsidTr="0090196B">
        <w:trPr>
          <w:trHeight w:val="267"/>
        </w:trPr>
        <w:tc>
          <w:tcPr>
            <w:tcW w:w="1555" w:type="dxa"/>
            <w:shd w:val="clear" w:color="auto" w:fill="FFFF00"/>
            <w:vAlign w:val="center"/>
          </w:tcPr>
          <w:p w14:paraId="4198CC58" w14:textId="77777777" w:rsidR="00173CBF" w:rsidRPr="00173CBF" w:rsidRDefault="00173CBF" w:rsidP="0090196B">
            <w:pPr>
              <w:jc w:val="center"/>
              <w:rPr>
                <w:i/>
                <w:sz w:val="20"/>
                <w:szCs w:val="20"/>
              </w:rPr>
            </w:pPr>
            <w:r w:rsidRPr="00173CBF">
              <w:rPr>
                <w:bCs/>
                <w:sz w:val="20"/>
                <w:szCs w:val="20"/>
              </w:rPr>
              <w:t>Durée</w:t>
            </w:r>
            <w:r w:rsidRPr="00173CBF">
              <w:rPr>
                <w:sz w:val="20"/>
                <w:szCs w:val="20"/>
              </w:rPr>
              <w:t xml:space="preserve"> : 15’</w:t>
            </w:r>
          </w:p>
        </w:tc>
        <w:tc>
          <w:tcPr>
            <w:tcW w:w="7087" w:type="dxa"/>
            <w:shd w:val="clear" w:color="auto" w:fill="FFFF00"/>
            <w:vAlign w:val="center"/>
          </w:tcPr>
          <w:p w14:paraId="1DE426DC" w14:textId="77777777" w:rsidR="00173CBF" w:rsidRPr="00173CBF" w:rsidRDefault="00173CBF" w:rsidP="0090196B">
            <w:pPr>
              <w:jc w:val="center"/>
              <w:rPr>
                <w:i/>
                <w:sz w:val="20"/>
                <w:szCs w:val="20"/>
              </w:rPr>
            </w:pPr>
            <w:r w:rsidRPr="00173CBF">
              <w:rPr>
                <w:noProof/>
                <w:sz w:val="20"/>
                <w:szCs w:val="20"/>
              </w:rPr>
              <w:drawing>
                <wp:inline distT="0" distB="0" distL="0" distR="0" wp14:anchorId="45EEE6E2" wp14:editId="791C542C">
                  <wp:extent cx="321945" cy="321945"/>
                  <wp:effectExtent l="0" t="0" r="0" b="1905"/>
                  <wp:docPr id="19" name="Graphique 19" descr="Homme avec un remplissage uni"/>
                  <wp:cNvGraphicFramePr/>
                  <a:graphic xmlns:a="http://schemas.openxmlformats.org/drawingml/2006/main">
                    <a:graphicData uri="http://schemas.openxmlformats.org/drawingml/2006/picture">
                      <pic:pic xmlns:pic="http://schemas.openxmlformats.org/drawingml/2006/picture">
                        <pic:nvPicPr>
                          <pic:cNvPr id="1" name="Graphique 1" descr="Homme avec un remplissage uni"/>
                          <pic:cNvPicPr>
                            <a:picLocks noChangeAspect="1"/>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3850" cy="323850"/>
                          </a:xfrm>
                          <a:prstGeom prst="rect">
                            <a:avLst/>
                          </a:prstGeom>
                        </pic:spPr>
                      </pic:pic>
                    </a:graphicData>
                  </a:graphic>
                </wp:inline>
              </w:drawing>
            </w:r>
            <w:r w:rsidRPr="00173CBF">
              <w:rPr>
                <w:sz w:val="20"/>
                <w:szCs w:val="20"/>
              </w:rPr>
              <w:t>ou</w:t>
            </w:r>
            <w:r w:rsidRPr="00173CBF">
              <w:rPr>
                <w:noProof/>
                <w:sz w:val="20"/>
                <w:szCs w:val="20"/>
              </w:rPr>
              <w:drawing>
                <wp:inline distT="0" distB="0" distL="0" distR="0" wp14:anchorId="4ED627A6" wp14:editId="08BBFB54">
                  <wp:extent cx="361950" cy="361950"/>
                  <wp:effectExtent l="0" t="0" r="0" b="0"/>
                  <wp:docPr id="20" name="Graphique 20" descr="Deux hommes avec un remplissage uni"/>
                  <wp:cNvGraphicFramePr/>
                  <a:graphic xmlns:a="http://schemas.openxmlformats.org/drawingml/2006/main">
                    <a:graphicData uri="http://schemas.openxmlformats.org/drawingml/2006/picture">
                      <pic:pic xmlns:pic="http://schemas.openxmlformats.org/drawingml/2006/picture">
                        <pic:nvPicPr>
                          <pic:cNvPr id="2" name="Graphique 2" descr="Deux hommes avec un remplissage uni"/>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59410" cy="359410"/>
                          </a:xfrm>
                          <a:prstGeom prst="rect">
                            <a:avLst/>
                          </a:prstGeom>
                        </pic:spPr>
                      </pic:pic>
                    </a:graphicData>
                  </a:graphic>
                </wp:inline>
              </w:drawing>
            </w:r>
          </w:p>
        </w:tc>
        <w:tc>
          <w:tcPr>
            <w:tcW w:w="1418" w:type="dxa"/>
            <w:shd w:val="clear" w:color="auto" w:fill="FFFF00"/>
            <w:vAlign w:val="center"/>
          </w:tcPr>
          <w:p w14:paraId="54B3860F" w14:textId="77777777" w:rsidR="00173CBF" w:rsidRPr="00173CBF" w:rsidRDefault="00173CBF" w:rsidP="0090196B">
            <w:pPr>
              <w:jc w:val="center"/>
              <w:rPr>
                <w:iCs/>
                <w:sz w:val="20"/>
                <w:szCs w:val="20"/>
              </w:rPr>
            </w:pPr>
            <w:r w:rsidRPr="00173CBF">
              <w:rPr>
                <w:iCs/>
                <w:sz w:val="20"/>
                <w:szCs w:val="20"/>
              </w:rPr>
              <w:t>Source</w:t>
            </w:r>
          </w:p>
        </w:tc>
      </w:tr>
    </w:tbl>
    <w:p w14:paraId="34F5137C" w14:textId="77777777" w:rsidR="00173CBF" w:rsidRPr="00EA47EB" w:rsidRDefault="00173CBF" w:rsidP="00173CBF">
      <w:pPr>
        <w:spacing w:before="120" w:after="120"/>
        <w:ind w:right="141"/>
        <w:rPr>
          <w:rFonts w:cs="Arial"/>
          <w:b/>
          <w:sz w:val="24"/>
          <w:szCs w:val="28"/>
        </w:rPr>
      </w:pPr>
      <w:r w:rsidRPr="00EA47EB">
        <w:rPr>
          <w:rFonts w:cs="Arial"/>
          <w:b/>
          <w:sz w:val="24"/>
          <w:szCs w:val="28"/>
        </w:rPr>
        <w:t>Travail à faire</w:t>
      </w:r>
    </w:p>
    <w:p w14:paraId="38F93CDC" w14:textId="77777777" w:rsidR="00173CBF" w:rsidRPr="00173CBF" w:rsidRDefault="00173CBF" w:rsidP="00173CBF">
      <w:pPr>
        <w:spacing w:after="120"/>
        <w:ind w:right="141"/>
        <w:rPr>
          <w:rFonts w:cs="Arial"/>
          <w:bCs/>
          <w:sz w:val="20"/>
          <w:szCs w:val="20"/>
        </w:rPr>
      </w:pPr>
      <w:r w:rsidRPr="00173CBF">
        <w:rPr>
          <w:rFonts w:cs="Arial"/>
          <w:bCs/>
          <w:sz w:val="20"/>
          <w:szCs w:val="20"/>
        </w:rPr>
        <w:t xml:space="preserve">Après avoir lu le </w:t>
      </w:r>
      <w:r w:rsidRPr="00173CBF">
        <w:rPr>
          <w:rFonts w:cs="Arial"/>
          <w:b/>
          <w:sz w:val="20"/>
          <w:szCs w:val="20"/>
        </w:rPr>
        <w:t>document</w:t>
      </w:r>
      <w:r w:rsidRPr="00173CBF">
        <w:rPr>
          <w:rFonts w:cs="Arial"/>
          <w:bCs/>
          <w:sz w:val="20"/>
          <w:szCs w:val="20"/>
        </w:rPr>
        <w:t xml:space="preserve">, répondez aux questions suivantes : </w:t>
      </w:r>
    </w:p>
    <w:p w14:paraId="4CA0A255" w14:textId="77777777" w:rsidR="00173CBF" w:rsidRPr="00173CBF" w:rsidRDefault="00173CBF" w:rsidP="00173CBF">
      <w:pPr>
        <w:pStyle w:val="Paragraphedeliste"/>
        <w:numPr>
          <w:ilvl w:val="0"/>
          <w:numId w:val="4"/>
        </w:numPr>
        <w:ind w:right="141"/>
        <w:rPr>
          <w:rFonts w:cs="Arial"/>
          <w:bCs/>
          <w:sz w:val="20"/>
          <w:szCs w:val="20"/>
        </w:rPr>
      </w:pPr>
      <w:r w:rsidRPr="00173CBF">
        <w:rPr>
          <w:rFonts w:cs="Arial"/>
          <w:bCs/>
          <w:sz w:val="20"/>
          <w:szCs w:val="20"/>
        </w:rPr>
        <w:t>En quoi consiste la stratégie de prévention ?</w:t>
      </w:r>
    </w:p>
    <w:p w14:paraId="49806B9F" w14:textId="77777777" w:rsidR="00173CBF" w:rsidRPr="00173CBF" w:rsidRDefault="00173CBF" w:rsidP="00173CBF">
      <w:pPr>
        <w:pStyle w:val="Paragraphedeliste"/>
        <w:numPr>
          <w:ilvl w:val="0"/>
          <w:numId w:val="4"/>
        </w:numPr>
        <w:ind w:right="141"/>
        <w:rPr>
          <w:rFonts w:cs="Arial"/>
          <w:bCs/>
          <w:sz w:val="20"/>
          <w:szCs w:val="20"/>
        </w:rPr>
      </w:pPr>
      <w:r w:rsidRPr="00173CBF">
        <w:rPr>
          <w:rFonts w:cs="Arial"/>
          <w:bCs/>
          <w:sz w:val="20"/>
          <w:szCs w:val="20"/>
        </w:rPr>
        <w:t>Quel est le pourcentage des entreprises qui demandent un prépaiement en 2022 ?</w:t>
      </w:r>
    </w:p>
    <w:p w14:paraId="5EAD9D4F" w14:textId="77777777" w:rsidR="00173CBF" w:rsidRPr="00173CBF" w:rsidRDefault="00173CBF" w:rsidP="00173CBF">
      <w:pPr>
        <w:pStyle w:val="Paragraphedeliste"/>
        <w:numPr>
          <w:ilvl w:val="0"/>
          <w:numId w:val="4"/>
        </w:numPr>
        <w:ind w:right="141"/>
        <w:rPr>
          <w:rFonts w:cs="Arial"/>
          <w:bCs/>
          <w:sz w:val="20"/>
          <w:szCs w:val="20"/>
        </w:rPr>
      </w:pPr>
      <w:r w:rsidRPr="00173CBF">
        <w:rPr>
          <w:rFonts w:cs="Arial"/>
          <w:bCs/>
          <w:sz w:val="20"/>
          <w:szCs w:val="20"/>
        </w:rPr>
        <w:t>Quelles sont les stratégies déployées par les entreprises lorsqu'un client demande un report de paiement ?</w:t>
      </w:r>
    </w:p>
    <w:p w14:paraId="4578C4C7" w14:textId="77777777" w:rsidR="00173CBF" w:rsidRPr="00173CBF" w:rsidRDefault="00173CBF" w:rsidP="00173CBF">
      <w:pPr>
        <w:pStyle w:val="Paragraphedeliste"/>
        <w:numPr>
          <w:ilvl w:val="0"/>
          <w:numId w:val="4"/>
        </w:numPr>
        <w:ind w:right="141"/>
        <w:rPr>
          <w:rFonts w:cs="Arial"/>
          <w:bCs/>
          <w:sz w:val="20"/>
          <w:szCs w:val="20"/>
        </w:rPr>
      </w:pPr>
      <w:r w:rsidRPr="00173CBF">
        <w:rPr>
          <w:rFonts w:cs="Arial"/>
          <w:bCs/>
          <w:sz w:val="20"/>
          <w:szCs w:val="20"/>
        </w:rPr>
        <w:t>Quelles réactions ont les entreprises en cas d'impayé ?</w:t>
      </w:r>
    </w:p>
    <w:p w14:paraId="4521E168" w14:textId="77777777" w:rsidR="00173CBF" w:rsidRPr="00173CBF" w:rsidRDefault="00173CBF" w:rsidP="00173CBF">
      <w:pPr>
        <w:pStyle w:val="Paragraphedeliste"/>
        <w:numPr>
          <w:ilvl w:val="0"/>
          <w:numId w:val="4"/>
        </w:numPr>
        <w:ind w:right="141"/>
        <w:rPr>
          <w:rFonts w:cs="Arial"/>
          <w:bCs/>
          <w:sz w:val="20"/>
          <w:szCs w:val="20"/>
        </w:rPr>
      </w:pPr>
      <w:r w:rsidRPr="00173CBF">
        <w:rPr>
          <w:rFonts w:cs="Arial"/>
          <w:bCs/>
          <w:sz w:val="20"/>
          <w:szCs w:val="20"/>
        </w:rPr>
        <w:t>quel est le pourcentage des entreprises qui n'ont aucune action en cas d'impayé ?</w:t>
      </w:r>
    </w:p>
    <w:p w14:paraId="3FD127D3" w14:textId="77777777" w:rsidR="00173CBF" w:rsidRDefault="00173CBF" w:rsidP="00173CBF">
      <w:pPr>
        <w:rPr>
          <w:rFonts w:cs="Arial"/>
          <w:bCs/>
        </w:rPr>
      </w:pPr>
    </w:p>
    <w:p w14:paraId="55F1A9B6" w14:textId="77777777" w:rsidR="00173CBF" w:rsidRDefault="00173CBF" w:rsidP="00173CBF">
      <w:pPr>
        <w:rPr>
          <w:rFonts w:cs="Arial"/>
          <w:bCs/>
        </w:rPr>
      </w:pPr>
    </w:p>
    <w:p w14:paraId="33087FB6" w14:textId="77777777" w:rsidR="00173CBF" w:rsidRPr="00173CBF" w:rsidRDefault="00173CBF" w:rsidP="00173CBF">
      <w:pPr>
        <w:pStyle w:val="Titre1"/>
        <w:shd w:val="clear" w:color="auto" w:fill="FFFFFF"/>
        <w:spacing w:before="0"/>
        <w:rPr>
          <w:rFonts w:ascii="Arial" w:hAnsi="Arial" w:cs="Arial"/>
          <w:b/>
          <w:color w:val="auto"/>
          <w:sz w:val="24"/>
          <w:szCs w:val="24"/>
          <w:lang w:eastAsia="fr-FR"/>
        </w:rPr>
      </w:pPr>
      <w:r w:rsidRPr="00173CBF">
        <w:rPr>
          <w:rFonts w:ascii="Arial" w:hAnsi="Arial" w:cs="Arial"/>
          <w:b/>
          <w:color w:val="FFFFFF" w:themeColor="background1"/>
          <w:sz w:val="24"/>
          <w:szCs w:val="24"/>
          <w:highlight w:val="red"/>
        </w:rPr>
        <w:t xml:space="preserve">Doc. </w:t>
      </w:r>
      <w:r w:rsidRPr="00173CBF">
        <w:rPr>
          <w:rFonts w:ascii="Arial" w:hAnsi="Arial" w:cs="Arial"/>
          <w:b/>
          <w:color w:val="FFFFFF" w:themeColor="background1"/>
          <w:sz w:val="24"/>
          <w:szCs w:val="24"/>
        </w:rPr>
        <w:t xml:space="preserve"> </w:t>
      </w:r>
      <w:r w:rsidRPr="00173CBF">
        <w:rPr>
          <w:rFonts w:ascii="Arial" w:hAnsi="Arial" w:cs="Arial"/>
          <w:b/>
          <w:color w:val="auto"/>
          <w:sz w:val="24"/>
          <w:szCs w:val="24"/>
        </w:rPr>
        <w:t>Comment lutter contre les retards de paiement</w:t>
      </w:r>
    </w:p>
    <w:p w14:paraId="681845BA" w14:textId="77777777" w:rsidR="00173CBF" w:rsidRPr="00BE2E79" w:rsidRDefault="00173CBF" w:rsidP="00173CBF">
      <w:pPr>
        <w:shd w:val="clear" w:color="auto" w:fill="FFFFFF"/>
        <w:spacing w:before="120" w:after="120"/>
        <w:jc w:val="left"/>
        <w:rPr>
          <w:rFonts w:eastAsia="Times New Roman" w:cs="Arial"/>
          <w:i/>
          <w:iCs/>
          <w:color w:val="212529"/>
          <w:sz w:val="18"/>
          <w:szCs w:val="18"/>
          <w:lang w:eastAsia="fr-FR"/>
        </w:rPr>
      </w:pPr>
      <w:r w:rsidRPr="00BE2E79">
        <w:rPr>
          <w:rStyle w:val="tag-chapo"/>
          <w:rFonts w:cs="Arial"/>
          <w:b/>
          <w:bCs/>
          <w:i/>
          <w:iCs/>
          <w:sz w:val="18"/>
          <w:szCs w:val="18"/>
        </w:rPr>
        <w:t xml:space="preserve">Source : </w:t>
      </w:r>
      <w:hyperlink r:id="rId9" w:history="1">
        <w:r w:rsidRPr="00BE2E79">
          <w:rPr>
            <w:rStyle w:val="Lienhypertexte"/>
            <w:rFonts w:cs="Arial"/>
            <w:b/>
            <w:bCs/>
            <w:i/>
            <w:iCs/>
            <w:sz w:val="18"/>
            <w:szCs w:val="18"/>
          </w:rPr>
          <w:t>https://agicap.com/</w:t>
        </w:r>
      </w:hyperlink>
      <w:r w:rsidRPr="00BE2E79">
        <w:rPr>
          <w:rStyle w:val="tag-chapo"/>
          <w:rFonts w:cs="Arial"/>
          <w:b/>
          <w:bCs/>
          <w:i/>
          <w:iCs/>
          <w:sz w:val="18"/>
          <w:szCs w:val="18"/>
        </w:rPr>
        <w:t xml:space="preserve"> - </w:t>
      </w:r>
      <w:r w:rsidRPr="00BE2E79">
        <w:rPr>
          <w:rFonts w:eastAsia="Times New Roman" w:cs="Arial"/>
          <w:i/>
          <w:iCs/>
          <w:color w:val="212529"/>
          <w:sz w:val="18"/>
          <w:szCs w:val="18"/>
          <w:lang w:eastAsia="fr-FR"/>
        </w:rPr>
        <w:t>Benoit de Angelis</w:t>
      </w:r>
      <w:r>
        <w:rPr>
          <w:rFonts w:eastAsia="Times New Roman" w:cs="Arial"/>
          <w:i/>
          <w:iCs/>
          <w:color w:val="212529"/>
          <w:sz w:val="18"/>
          <w:szCs w:val="18"/>
          <w:lang w:eastAsia="fr-FR"/>
        </w:rPr>
        <w:t xml:space="preserve"> - </w:t>
      </w:r>
      <w:r w:rsidRPr="00BE2E79">
        <w:rPr>
          <w:rFonts w:eastAsia="Times New Roman" w:cs="Arial"/>
          <w:i/>
          <w:iCs/>
          <w:color w:val="212529"/>
          <w:sz w:val="18"/>
          <w:szCs w:val="18"/>
          <w:lang w:eastAsia="fr-FR"/>
        </w:rPr>
        <w:t>30 janv. 2023</w:t>
      </w:r>
    </w:p>
    <w:p w14:paraId="0637DDE5" w14:textId="77777777" w:rsidR="00173CBF" w:rsidRPr="00173CBF" w:rsidRDefault="00173CBF" w:rsidP="00173CBF">
      <w:pPr>
        <w:spacing w:before="120"/>
        <w:rPr>
          <w:sz w:val="20"/>
          <w:szCs w:val="20"/>
        </w:rPr>
      </w:pPr>
      <w:r w:rsidRPr="00173CBF">
        <w:rPr>
          <w:sz w:val="20"/>
          <w:szCs w:val="20"/>
        </w:rPr>
        <w:t>D’une manière générale, il semble que les entreprises françaises peinent à lutter contre le phénomène. Il nous faut en tout cas distinguer 3 cas de figure :</w:t>
      </w:r>
    </w:p>
    <w:p w14:paraId="28484E32" w14:textId="77777777" w:rsidR="00173CBF" w:rsidRPr="00173CBF" w:rsidRDefault="00173CBF" w:rsidP="00173CBF">
      <w:pPr>
        <w:pStyle w:val="Paragraphedeliste"/>
        <w:numPr>
          <w:ilvl w:val="0"/>
          <w:numId w:val="3"/>
        </w:numPr>
        <w:rPr>
          <w:sz w:val="20"/>
          <w:szCs w:val="20"/>
        </w:rPr>
      </w:pPr>
      <w:r w:rsidRPr="00173CBF">
        <w:rPr>
          <w:sz w:val="20"/>
          <w:szCs w:val="20"/>
        </w:rPr>
        <w:t>Les actions visant à </w:t>
      </w:r>
      <w:r w:rsidRPr="00173CBF">
        <w:rPr>
          <w:rStyle w:val="lev"/>
          <w:rFonts w:ascii="Segoe UI" w:hAnsi="Segoe UI" w:cs="Segoe UI"/>
          <w:color w:val="212529"/>
          <w:sz w:val="20"/>
          <w:szCs w:val="20"/>
        </w:rPr>
        <w:t>prévenir les défauts et retards de paiement</w:t>
      </w:r>
      <w:r w:rsidRPr="00173CBF">
        <w:rPr>
          <w:sz w:val="20"/>
          <w:szCs w:val="20"/>
        </w:rPr>
        <w:t>,</w:t>
      </w:r>
    </w:p>
    <w:p w14:paraId="78EC89E2" w14:textId="77777777" w:rsidR="00173CBF" w:rsidRPr="00173CBF" w:rsidRDefault="00173CBF" w:rsidP="00173CBF">
      <w:pPr>
        <w:pStyle w:val="Paragraphedeliste"/>
        <w:numPr>
          <w:ilvl w:val="0"/>
          <w:numId w:val="3"/>
        </w:numPr>
        <w:rPr>
          <w:sz w:val="20"/>
          <w:szCs w:val="20"/>
        </w:rPr>
      </w:pPr>
      <w:r w:rsidRPr="00173CBF">
        <w:rPr>
          <w:sz w:val="20"/>
          <w:szCs w:val="20"/>
        </w:rPr>
        <w:t>Les actions en cas de </w:t>
      </w:r>
      <w:r w:rsidRPr="00173CBF">
        <w:rPr>
          <w:rStyle w:val="lev"/>
          <w:rFonts w:ascii="Segoe UI" w:hAnsi="Segoe UI" w:cs="Segoe UI"/>
          <w:color w:val="212529"/>
          <w:sz w:val="20"/>
          <w:szCs w:val="20"/>
        </w:rPr>
        <w:t>demande d’allongement</w:t>
      </w:r>
      <w:r w:rsidRPr="00173CBF">
        <w:rPr>
          <w:sz w:val="20"/>
          <w:szCs w:val="20"/>
        </w:rPr>
        <w:t> des délais de paiement,</w:t>
      </w:r>
    </w:p>
    <w:p w14:paraId="2572AC5F" w14:textId="77777777" w:rsidR="00173CBF" w:rsidRPr="00173CBF" w:rsidRDefault="00173CBF" w:rsidP="00173CBF">
      <w:pPr>
        <w:pStyle w:val="Paragraphedeliste"/>
        <w:numPr>
          <w:ilvl w:val="0"/>
          <w:numId w:val="3"/>
        </w:numPr>
        <w:rPr>
          <w:sz w:val="20"/>
          <w:szCs w:val="20"/>
        </w:rPr>
      </w:pPr>
      <w:r w:rsidRPr="00173CBF">
        <w:rPr>
          <w:sz w:val="20"/>
          <w:szCs w:val="20"/>
        </w:rPr>
        <w:t>Les actions en cas d’</w:t>
      </w:r>
      <w:r w:rsidRPr="00173CBF">
        <w:rPr>
          <w:rStyle w:val="lev"/>
          <w:rFonts w:ascii="Segoe UI" w:hAnsi="Segoe UI" w:cs="Segoe UI"/>
          <w:color w:val="212529"/>
          <w:sz w:val="20"/>
          <w:szCs w:val="20"/>
        </w:rPr>
        <w:t>impayé client</w:t>
      </w:r>
      <w:r w:rsidRPr="00173CBF">
        <w:rPr>
          <w:sz w:val="20"/>
          <w:szCs w:val="20"/>
        </w:rPr>
        <w:t>.</w:t>
      </w:r>
    </w:p>
    <w:p w14:paraId="3B4B895C" w14:textId="77777777" w:rsidR="00173CBF" w:rsidRDefault="00173CBF" w:rsidP="00173CBF">
      <w:pPr>
        <w:pStyle w:val="Paragraphedeliste"/>
        <w:ind w:left="360"/>
      </w:pPr>
    </w:p>
    <w:p w14:paraId="5BE167E3" w14:textId="77777777" w:rsidR="00173CBF" w:rsidRDefault="00173CBF" w:rsidP="00173CBF">
      <w:pPr>
        <w:pStyle w:val="Titre3"/>
        <w:shd w:val="clear" w:color="auto" w:fill="FFFFFF"/>
        <w:rPr>
          <w:rFonts w:ascii="Segoe UI" w:hAnsi="Segoe UI" w:cs="Segoe UI"/>
          <w:color w:val="212529"/>
        </w:rPr>
      </w:pPr>
      <w:r>
        <w:rPr>
          <w:rFonts w:ascii="Segoe UI" w:hAnsi="Segoe UI" w:cs="Segoe UI"/>
          <w:color w:val="212529"/>
        </w:rPr>
        <w:t>Stratégies de prévention</w:t>
      </w:r>
    </w:p>
    <w:p w14:paraId="715B44A8" w14:textId="77777777" w:rsidR="00173CBF" w:rsidRPr="00173CBF" w:rsidRDefault="00173CBF" w:rsidP="00173CBF">
      <w:pPr>
        <w:spacing w:before="120"/>
        <w:jc w:val="left"/>
        <w:rPr>
          <w:b/>
          <w:bCs/>
          <w:sz w:val="20"/>
          <w:szCs w:val="20"/>
        </w:rPr>
      </w:pPr>
      <w:r w:rsidRPr="00173CBF">
        <w:rPr>
          <w:sz w:val="20"/>
          <w:szCs w:val="20"/>
        </w:rPr>
        <w:t>Tout d’abord, les entreprises essayent de prévenir. Toujours d’après le dernier baromètre Intrum, leurs stratégies ont changé durant ces 3 dernières années. Si elles avaient massivement recours à l’affacturage, la demande de garanties bancaires et la souscription d’</w:t>
      </w:r>
      <w:r w:rsidRPr="00173CBF">
        <w:rPr>
          <w:rFonts w:ascii="Segoe UI" w:hAnsi="Segoe UI" w:cs="Segoe UI"/>
          <w:sz w:val="20"/>
          <w:szCs w:val="20"/>
        </w:rPr>
        <w:t>assurances-crédit</w:t>
      </w:r>
      <w:r w:rsidRPr="00173CBF">
        <w:rPr>
          <w:sz w:val="20"/>
          <w:szCs w:val="20"/>
        </w:rPr>
        <w:t> en 2020, les entreprises aujourd’hui </w:t>
      </w:r>
      <w:r w:rsidRPr="00173CBF">
        <w:rPr>
          <w:rStyle w:val="lev"/>
          <w:rFonts w:ascii="Segoe UI" w:hAnsi="Segoe UI" w:cs="Segoe UI"/>
          <w:b w:val="0"/>
          <w:bCs w:val="0"/>
          <w:color w:val="212529"/>
          <w:sz w:val="20"/>
          <w:szCs w:val="20"/>
        </w:rPr>
        <w:t>se tournent presque exclusivement vers le prépaiement</w:t>
      </w:r>
      <w:r w:rsidRPr="00173CBF">
        <w:rPr>
          <w:b/>
          <w:bCs/>
          <w:sz w:val="20"/>
          <w:szCs w:val="20"/>
        </w:rPr>
        <w:t>.</w:t>
      </w:r>
    </w:p>
    <w:p w14:paraId="5565CF06" w14:textId="77777777" w:rsidR="00173CBF" w:rsidRPr="00173CBF" w:rsidRDefault="00173CBF" w:rsidP="00173CBF">
      <w:pPr>
        <w:spacing w:before="120"/>
        <w:jc w:val="left"/>
        <w:rPr>
          <w:rFonts w:cs="Arial"/>
          <w:b/>
          <w:bCs/>
          <w:sz w:val="20"/>
          <w:szCs w:val="20"/>
        </w:rPr>
      </w:pPr>
      <w:r w:rsidRPr="00173CBF">
        <w:rPr>
          <w:rFonts w:cs="Arial"/>
          <w:noProof/>
          <w:color w:val="212529"/>
          <w:sz w:val="20"/>
          <w:szCs w:val="20"/>
        </w:rPr>
        <w:drawing>
          <wp:anchor distT="0" distB="0" distL="114300" distR="114300" simplePos="0" relativeHeight="251659264" behindDoc="0" locked="0" layoutInCell="1" allowOverlap="1" wp14:anchorId="2EA567D6" wp14:editId="1A8D3790">
            <wp:simplePos x="0" y="0"/>
            <wp:positionH relativeFrom="column">
              <wp:posOffset>2614854</wp:posOffset>
            </wp:positionH>
            <wp:positionV relativeFrom="paragraph">
              <wp:posOffset>62560</wp:posOffset>
            </wp:positionV>
            <wp:extent cx="3763645" cy="2646045"/>
            <wp:effectExtent l="19050" t="19050" r="27305" b="20955"/>
            <wp:wrapSquare wrapText="bothSides"/>
            <wp:docPr id="18" name="Image 18" descr="FR - Les actions mises en place pour lutter contre les retards de paiement (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R - Les actions mises en place pour lutter contre les retards de paiement (en %)"/>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796" r="1309"/>
                    <a:stretch/>
                  </pic:blipFill>
                  <pic:spPr bwMode="auto">
                    <a:xfrm>
                      <a:off x="0" y="0"/>
                      <a:ext cx="3763645" cy="2646045"/>
                    </a:xfrm>
                    <a:prstGeom prst="rect">
                      <a:avLst/>
                    </a:prstGeom>
                    <a:noFill/>
                    <a:ln>
                      <a:solidFill>
                        <a:schemeClr val="accent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73CBF">
        <w:rPr>
          <w:rFonts w:cs="Arial"/>
          <w:sz w:val="20"/>
          <w:szCs w:val="20"/>
        </w:rPr>
        <w:t xml:space="preserve">Les entreprises peuvent </w:t>
      </w:r>
      <w:r w:rsidRPr="00173CBF">
        <w:rPr>
          <w:rFonts w:cs="Arial"/>
          <w:b/>
          <w:bCs/>
          <w:sz w:val="20"/>
          <w:szCs w:val="20"/>
        </w:rPr>
        <w:t>aussi </w:t>
      </w:r>
      <w:r w:rsidRPr="00173CBF">
        <w:rPr>
          <w:rStyle w:val="lev"/>
          <w:rFonts w:cs="Arial"/>
          <w:b w:val="0"/>
          <w:bCs w:val="0"/>
          <w:color w:val="212529"/>
          <w:sz w:val="20"/>
          <w:szCs w:val="20"/>
        </w:rPr>
        <w:t>inclure des délais de paiement dans leurs contrats clients et prévoir des pénalités en cas de retard</w:t>
      </w:r>
      <w:r w:rsidRPr="00173CBF">
        <w:rPr>
          <w:rFonts w:cs="Arial"/>
          <w:b/>
          <w:bCs/>
          <w:sz w:val="20"/>
          <w:szCs w:val="20"/>
        </w:rPr>
        <w:t xml:space="preserve">. </w:t>
      </w:r>
    </w:p>
    <w:p w14:paraId="3DC40BE5" w14:textId="77777777" w:rsidR="00173CBF" w:rsidRPr="00475BCB" w:rsidRDefault="00173CBF" w:rsidP="00173CBF">
      <w:pPr>
        <w:pStyle w:val="Titre3"/>
        <w:shd w:val="clear" w:color="auto" w:fill="FFFFFF"/>
        <w:spacing w:before="120"/>
        <w:jc w:val="left"/>
        <w:rPr>
          <w:rFonts w:ascii="Segoe UI" w:hAnsi="Segoe UI" w:cs="Segoe UI"/>
          <w:color w:val="212529"/>
        </w:rPr>
      </w:pPr>
      <w:r w:rsidRPr="00475BCB">
        <w:rPr>
          <w:rFonts w:ascii="Segoe UI" w:hAnsi="Segoe UI" w:cs="Segoe UI"/>
          <w:color w:val="212529"/>
        </w:rPr>
        <w:t>Stratégies en cas de demande d’un client</w:t>
      </w:r>
    </w:p>
    <w:p w14:paraId="25092D8E" w14:textId="77777777" w:rsidR="00173CBF" w:rsidRPr="00173CBF" w:rsidRDefault="00173CBF" w:rsidP="00173CBF">
      <w:pPr>
        <w:spacing w:before="120"/>
        <w:jc w:val="left"/>
        <w:rPr>
          <w:sz w:val="20"/>
          <w:szCs w:val="20"/>
        </w:rPr>
      </w:pPr>
      <w:r w:rsidRPr="00173CBF">
        <w:rPr>
          <w:sz w:val="20"/>
          <w:szCs w:val="20"/>
        </w:rPr>
        <w:t>Ensuite, lorsqu’elles sont contactées par un client désireux d’allonger le délai de paiement de leurs factures, 10 % acceptent sans discuter tandis que 21 % refusent catégoriquement. Entre ces deux extrêmes, soit les entreprises négocient de nouvelles conditions de paiement, parfois en échange de frais supplémentaires, soit elles proposent une remise en échange d’un paiement immédiat. Preuve en est que le cash est de plus en plus important.</w:t>
      </w:r>
    </w:p>
    <w:p w14:paraId="6C25607F" w14:textId="77777777" w:rsidR="00173CBF" w:rsidRPr="00475BCB" w:rsidRDefault="00173CBF" w:rsidP="00173CBF">
      <w:pPr>
        <w:pStyle w:val="Titre3"/>
        <w:shd w:val="clear" w:color="auto" w:fill="FFFFFF"/>
        <w:spacing w:before="120"/>
        <w:rPr>
          <w:rFonts w:ascii="Segoe UI" w:hAnsi="Segoe UI" w:cs="Segoe UI"/>
          <w:color w:val="212529"/>
        </w:rPr>
      </w:pPr>
      <w:r w:rsidRPr="00475BCB">
        <w:rPr>
          <w:rFonts w:ascii="Segoe UI" w:hAnsi="Segoe UI" w:cs="Segoe UI"/>
          <w:color w:val="212529"/>
        </w:rPr>
        <w:t>Stratégies en cas d’impayé</w:t>
      </w:r>
    </w:p>
    <w:p w14:paraId="70F3E603" w14:textId="77777777" w:rsidR="00173CBF" w:rsidRPr="00173CBF" w:rsidRDefault="00173CBF" w:rsidP="00173CBF">
      <w:pPr>
        <w:spacing w:before="120"/>
        <w:jc w:val="left"/>
        <w:rPr>
          <w:sz w:val="20"/>
          <w:szCs w:val="20"/>
        </w:rPr>
      </w:pPr>
      <w:r w:rsidRPr="00173CBF">
        <w:rPr>
          <w:sz w:val="20"/>
          <w:szCs w:val="20"/>
        </w:rPr>
        <w:t>Enfin, le dernier cas de figure est celui de l’impayé client. Lorsque cela se produit, la réponse est unanime : </w:t>
      </w:r>
      <w:r w:rsidRPr="00173CBF">
        <w:rPr>
          <w:rStyle w:val="lev"/>
          <w:rFonts w:ascii="Segoe UI" w:hAnsi="Segoe UI" w:cs="Segoe UI"/>
          <w:b w:val="0"/>
          <w:bCs w:val="0"/>
          <w:color w:val="212529"/>
          <w:sz w:val="20"/>
          <w:szCs w:val="20"/>
        </w:rPr>
        <w:t>65% intentent une action en justice.</w:t>
      </w:r>
      <w:r w:rsidRPr="00173CBF">
        <w:rPr>
          <w:sz w:val="20"/>
          <w:szCs w:val="20"/>
        </w:rPr>
        <w:t> Seule une minorité d’entreprises passent par un service interne ou externe de recouvrement. Fait notable, 6 % déclarent ne parfois rien faire !</w:t>
      </w:r>
    </w:p>
    <w:p w14:paraId="57CC0749" w14:textId="77777777" w:rsidR="00173CBF" w:rsidRDefault="00173CBF" w:rsidP="00173CBF">
      <w:pPr>
        <w:spacing w:before="120"/>
        <w:rPr>
          <w:rFonts w:cs="Arial"/>
          <w:color w:val="000000"/>
        </w:rPr>
      </w:pPr>
    </w:p>
    <w:p w14:paraId="494061A6" w14:textId="3DD5BEAD" w:rsidR="00173CBF" w:rsidRDefault="00173CBF" w:rsidP="00173CBF">
      <w:pPr>
        <w:spacing w:before="120"/>
        <w:rPr>
          <w:rFonts w:cs="Arial"/>
          <w:color w:val="000000"/>
        </w:rPr>
      </w:pPr>
    </w:p>
    <w:p w14:paraId="4C00C5DE" w14:textId="54B3B961" w:rsidR="00173CBF" w:rsidRDefault="00173CBF" w:rsidP="00173CBF">
      <w:pPr>
        <w:spacing w:before="120"/>
        <w:rPr>
          <w:rFonts w:cs="Arial"/>
          <w:color w:val="000000"/>
        </w:rPr>
      </w:pPr>
    </w:p>
    <w:p w14:paraId="0DDB8F04" w14:textId="3B0A3896" w:rsidR="00173CBF" w:rsidRDefault="00173CBF" w:rsidP="00173CBF">
      <w:pPr>
        <w:spacing w:before="120"/>
        <w:rPr>
          <w:rFonts w:cs="Arial"/>
          <w:color w:val="000000"/>
        </w:rPr>
      </w:pPr>
    </w:p>
    <w:p w14:paraId="1229ABCF" w14:textId="77777777" w:rsidR="00173CBF" w:rsidRDefault="00173CBF" w:rsidP="00173CBF">
      <w:pPr>
        <w:spacing w:before="120"/>
        <w:rPr>
          <w:rFonts w:cs="Arial"/>
          <w:color w:val="000000"/>
        </w:rPr>
      </w:pPr>
    </w:p>
    <w:p w14:paraId="32D8AF9C" w14:textId="77777777" w:rsidR="00173CBF" w:rsidRPr="00173CBF" w:rsidRDefault="00173CBF" w:rsidP="00173CBF">
      <w:pPr>
        <w:spacing w:after="120"/>
        <w:ind w:right="141"/>
        <w:rPr>
          <w:rFonts w:cs="Arial"/>
          <w:b/>
          <w:sz w:val="24"/>
          <w:szCs w:val="24"/>
        </w:rPr>
      </w:pPr>
      <w:r w:rsidRPr="00173CBF">
        <w:rPr>
          <w:rFonts w:cs="Arial"/>
          <w:b/>
          <w:sz w:val="24"/>
          <w:szCs w:val="24"/>
        </w:rPr>
        <w:lastRenderedPageBreak/>
        <w:t>Réponses</w:t>
      </w:r>
    </w:p>
    <w:p w14:paraId="198D7229" w14:textId="19882B01" w:rsidR="00173CBF" w:rsidRPr="00173CBF" w:rsidRDefault="00173CBF" w:rsidP="00173CBF">
      <w:pPr>
        <w:pStyle w:val="Paragraphedeliste"/>
        <w:numPr>
          <w:ilvl w:val="0"/>
          <w:numId w:val="5"/>
        </w:numPr>
        <w:ind w:right="141"/>
        <w:rPr>
          <w:rFonts w:cs="Arial"/>
          <w:bCs/>
          <w:sz w:val="20"/>
          <w:szCs w:val="20"/>
        </w:rPr>
      </w:pPr>
      <w:r w:rsidRPr="00173CBF">
        <w:rPr>
          <w:rFonts w:cs="Arial"/>
          <w:bCs/>
          <w:sz w:val="20"/>
          <w:szCs w:val="20"/>
        </w:rPr>
        <w:t>En quoi consiste la stratégie de prévention ?</w:t>
      </w:r>
    </w:p>
    <w:p w14:paraId="17E6897A" w14:textId="59A623F7" w:rsidR="00173CBF" w:rsidRPr="00173CBF" w:rsidRDefault="00173CBF" w:rsidP="00173CBF">
      <w:pPr>
        <w:ind w:right="141"/>
        <w:rPr>
          <w:rFonts w:cs="Arial"/>
          <w:bCs/>
          <w:sz w:val="20"/>
          <w:szCs w:val="20"/>
        </w:rPr>
      </w:pPr>
    </w:p>
    <w:p w14:paraId="55BE9338" w14:textId="0B22B90B" w:rsidR="00173CBF" w:rsidRPr="00173CBF" w:rsidRDefault="00173CBF" w:rsidP="00173CBF">
      <w:pPr>
        <w:ind w:right="141"/>
        <w:rPr>
          <w:rFonts w:cs="Arial"/>
          <w:bCs/>
          <w:sz w:val="20"/>
          <w:szCs w:val="20"/>
        </w:rPr>
      </w:pPr>
    </w:p>
    <w:p w14:paraId="4E218B79" w14:textId="77777777" w:rsidR="00173CBF" w:rsidRPr="00173CBF" w:rsidRDefault="00173CBF" w:rsidP="00173CBF">
      <w:pPr>
        <w:ind w:right="141"/>
        <w:rPr>
          <w:rFonts w:cs="Arial"/>
          <w:bCs/>
          <w:sz w:val="20"/>
          <w:szCs w:val="20"/>
        </w:rPr>
      </w:pPr>
    </w:p>
    <w:p w14:paraId="62615F5E" w14:textId="77F08ECC" w:rsidR="00173CBF" w:rsidRPr="00173CBF" w:rsidRDefault="00173CBF" w:rsidP="00173CBF">
      <w:pPr>
        <w:pStyle w:val="Paragraphedeliste"/>
        <w:numPr>
          <w:ilvl w:val="0"/>
          <w:numId w:val="5"/>
        </w:numPr>
        <w:ind w:right="141"/>
        <w:rPr>
          <w:rFonts w:cs="Arial"/>
          <w:bCs/>
          <w:sz w:val="20"/>
          <w:szCs w:val="20"/>
        </w:rPr>
      </w:pPr>
      <w:r w:rsidRPr="00173CBF">
        <w:rPr>
          <w:rFonts w:cs="Arial"/>
          <w:bCs/>
          <w:sz w:val="20"/>
          <w:szCs w:val="20"/>
        </w:rPr>
        <w:t>Quel est le pourcentage des entreprises qui demandent un prépaiement en 2022 ?</w:t>
      </w:r>
    </w:p>
    <w:p w14:paraId="62A33340" w14:textId="0A4ED185" w:rsidR="00173CBF" w:rsidRPr="00173CBF" w:rsidRDefault="00173CBF" w:rsidP="00173CBF">
      <w:pPr>
        <w:ind w:right="141"/>
        <w:rPr>
          <w:rFonts w:cs="Arial"/>
          <w:bCs/>
          <w:sz w:val="20"/>
          <w:szCs w:val="20"/>
        </w:rPr>
      </w:pPr>
    </w:p>
    <w:p w14:paraId="0CC88AE6" w14:textId="04855A26" w:rsidR="00173CBF" w:rsidRPr="00173CBF" w:rsidRDefault="00173CBF" w:rsidP="00173CBF">
      <w:pPr>
        <w:ind w:right="141"/>
        <w:rPr>
          <w:rFonts w:cs="Arial"/>
          <w:bCs/>
          <w:sz w:val="20"/>
          <w:szCs w:val="20"/>
        </w:rPr>
      </w:pPr>
    </w:p>
    <w:p w14:paraId="0AE006F3" w14:textId="77777777" w:rsidR="00173CBF" w:rsidRPr="00173CBF" w:rsidRDefault="00173CBF" w:rsidP="00173CBF">
      <w:pPr>
        <w:ind w:right="141"/>
        <w:rPr>
          <w:rFonts w:cs="Arial"/>
          <w:bCs/>
          <w:sz w:val="20"/>
          <w:szCs w:val="20"/>
        </w:rPr>
      </w:pPr>
    </w:p>
    <w:p w14:paraId="4C947622" w14:textId="4F775305" w:rsidR="00173CBF" w:rsidRPr="00173CBF" w:rsidRDefault="00173CBF" w:rsidP="00173CBF">
      <w:pPr>
        <w:pStyle w:val="Paragraphedeliste"/>
        <w:numPr>
          <w:ilvl w:val="0"/>
          <w:numId w:val="5"/>
        </w:numPr>
        <w:ind w:right="141"/>
        <w:rPr>
          <w:rFonts w:cs="Arial"/>
          <w:bCs/>
          <w:sz w:val="20"/>
          <w:szCs w:val="20"/>
        </w:rPr>
      </w:pPr>
      <w:r w:rsidRPr="00173CBF">
        <w:rPr>
          <w:rFonts w:cs="Arial"/>
          <w:bCs/>
          <w:sz w:val="20"/>
          <w:szCs w:val="20"/>
        </w:rPr>
        <w:t>Quelles sont les stratégies déployées par les entreprises lorsqu'un client demande un report de paiement ?</w:t>
      </w:r>
    </w:p>
    <w:p w14:paraId="2FB8D03E" w14:textId="698D58B9" w:rsidR="00173CBF" w:rsidRPr="00173CBF" w:rsidRDefault="00173CBF" w:rsidP="00173CBF">
      <w:pPr>
        <w:ind w:right="141"/>
        <w:rPr>
          <w:rFonts w:cs="Arial"/>
          <w:bCs/>
          <w:sz w:val="20"/>
          <w:szCs w:val="20"/>
        </w:rPr>
      </w:pPr>
    </w:p>
    <w:p w14:paraId="6E919CF4" w14:textId="77777777" w:rsidR="00173CBF" w:rsidRPr="00173CBF" w:rsidRDefault="00173CBF" w:rsidP="00173CBF">
      <w:pPr>
        <w:ind w:right="141"/>
        <w:rPr>
          <w:rFonts w:cs="Arial"/>
          <w:bCs/>
          <w:sz w:val="20"/>
          <w:szCs w:val="20"/>
        </w:rPr>
      </w:pPr>
    </w:p>
    <w:p w14:paraId="7684E026" w14:textId="633F1E1F" w:rsidR="00173CBF" w:rsidRPr="00173CBF" w:rsidRDefault="00173CBF" w:rsidP="00173CBF">
      <w:pPr>
        <w:pStyle w:val="Paragraphedeliste"/>
        <w:numPr>
          <w:ilvl w:val="0"/>
          <w:numId w:val="5"/>
        </w:numPr>
        <w:ind w:right="141"/>
        <w:rPr>
          <w:rFonts w:cs="Arial"/>
          <w:bCs/>
          <w:sz w:val="20"/>
          <w:szCs w:val="20"/>
        </w:rPr>
      </w:pPr>
      <w:r w:rsidRPr="00173CBF">
        <w:rPr>
          <w:rFonts w:cs="Arial"/>
          <w:bCs/>
          <w:sz w:val="20"/>
          <w:szCs w:val="20"/>
        </w:rPr>
        <w:t>Quelles réactions ont les entreprises en cas d'impayé ?</w:t>
      </w:r>
    </w:p>
    <w:p w14:paraId="0773713E" w14:textId="4D2CF115" w:rsidR="00173CBF" w:rsidRPr="00173CBF" w:rsidRDefault="00173CBF" w:rsidP="00173CBF">
      <w:pPr>
        <w:ind w:right="141"/>
        <w:rPr>
          <w:rFonts w:cs="Arial"/>
          <w:bCs/>
          <w:sz w:val="20"/>
          <w:szCs w:val="20"/>
        </w:rPr>
      </w:pPr>
    </w:p>
    <w:p w14:paraId="5029A352" w14:textId="686B61D2" w:rsidR="00173CBF" w:rsidRPr="00173CBF" w:rsidRDefault="00173CBF" w:rsidP="00173CBF">
      <w:pPr>
        <w:ind w:right="141"/>
        <w:rPr>
          <w:rFonts w:cs="Arial"/>
          <w:bCs/>
          <w:sz w:val="20"/>
          <w:szCs w:val="20"/>
        </w:rPr>
      </w:pPr>
    </w:p>
    <w:p w14:paraId="7A9497BE" w14:textId="318E47CA" w:rsidR="00173CBF" w:rsidRPr="00173CBF" w:rsidRDefault="00173CBF" w:rsidP="00173CBF">
      <w:pPr>
        <w:ind w:right="141"/>
        <w:rPr>
          <w:rFonts w:cs="Arial"/>
          <w:bCs/>
          <w:sz w:val="20"/>
          <w:szCs w:val="20"/>
        </w:rPr>
      </w:pPr>
    </w:p>
    <w:p w14:paraId="3A64DC49" w14:textId="77777777" w:rsidR="00173CBF" w:rsidRPr="00173CBF" w:rsidRDefault="00173CBF" w:rsidP="00173CBF">
      <w:pPr>
        <w:ind w:right="141"/>
        <w:rPr>
          <w:rFonts w:cs="Arial"/>
          <w:bCs/>
          <w:sz w:val="20"/>
          <w:szCs w:val="20"/>
        </w:rPr>
      </w:pPr>
    </w:p>
    <w:p w14:paraId="6297FDED" w14:textId="418F5312" w:rsidR="00173CBF" w:rsidRPr="00173CBF" w:rsidRDefault="00173CBF" w:rsidP="00173CBF">
      <w:pPr>
        <w:pStyle w:val="Paragraphedeliste"/>
        <w:numPr>
          <w:ilvl w:val="0"/>
          <w:numId w:val="5"/>
        </w:numPr>
        <w:ind w:right="141"/>
        <w:rPr>
          <w:rFonts w:cs="Arial"/>
          <w:bCs/>
          <w:sz w:val="20"/>
          <w:szCs w:val="20"/>
        </w:rPr>
      </w:pPr>
      <w:r>
        <w:rPr>
          <w:rFonts w:cs="Arial"/>
          <w:bCs/>
          <w:sz w:val="20"/>
          <w:szCs w:val="20"/>
        </w:rPr>
        <w:t>Q</w:t>
      </w:r>
      <w:r w:rsidRPr="00173CBF">
        <w:rPr>
          <w:rFonts w:cs="Arial"/>
          <w:bCs/>
          <w:sz w:val="20"/>
          <w:szCs w:val="20"/>
        </w:rPr>
        <w:t>uel est le pourcentage des entreprises qui n'ont aucune action en cas d'impayé ?</w:t>
      </w:r>
    </w:p>
    <w:p w14:paraId="7BF54B21" w14:textId="77777777" w:rsidR="00173CBF" w:rsidRDefault="00173CBF" w:rsidP="00173CBF">
      <w:pPr>
        <w:rPr>
          <w:rFonts w:cs="Arial"/>
          <w:bCs/>
        </w:rPr>
      </w:pPr>
    </w:p>
    <w:p w14:paraId="06A0E1F7" w14:textId="77777777" w:rsidR="0005241D" w:rsidRPr="00173CBF" w:rsidRDefault="0005241D" w:rsidP="00173CBF"/>
    <w:sectPr w:rsidR="0005241D" w:rsidRPr="00173CBF" w:rsidSect="0005241D">
      <w:pgSz w:w="11906" w:h="16838"/>
      <w:pgMar w:top="851" w:right="73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48CE"/>
    <w:multiLevelType w:val="hybridMultilevel"/>
    <w:tmpl w:val="86609C6E"/>
    <w:lvl w:ilvl="0" w:tplc="928A3104">
      <w:start w:val="1"/>
      <w:numFmt w:val="bullet"/>
      <w:pStyle w:val="Titre3"/>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492A212C"/>
    <w:multiLevelType w:val="hybridMultilevel"/>
    <w:tmpl w:val="B0A07A7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4A8A627D"/>
    <w:multiLevelType w:val="hybridMultilevel"/>
    <w:tmpl w:val="2D3480B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7481521A"/>
    <w:multiLevelType w:val="hybridMultilevel"/>
    <w:tmpl w:val="E3C4624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79591A3E"/>
    <w:multiLevelType w:val="hybridMultilevel"/>
    <w:tmpl w:val="DF6848B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679431617">
    <w:abstractNumId w:val="0"/>
  </w:num>
  <w:num w:numId="2" w16cid:durableId="762532975">
    <w:abstractNumId w:val="2"/>
  </w:num>
  <w:num w:numId="3" w16cid:durableId="1216238290">
    <w:abstractNumId w:val="3"/>
  </w:num>
  <w:num w:numId="4" w16cid:durableId="113909222">
    <w:abstractNumId w:val="4"/>
  </w:num>
  <w:num w:numId="5" w16cid:durableId="1848444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A10"/>
    <w:rsid w:val="0005241D"/>
    <w:rsid w:val="0016447C"/>
    <w:rsid w:val="00173CBF"/>
    <w:rsid w:val="005F7A10"/>
    <w:rsid w:val="00736619"/>
    <w:rsid w:val="00787CB7"/>
    <w:rsid w:val="008216FC"/>
    <w:rsid w:val="009B21CE"/>
    <w:rsid w:val="00A95871"/>
    <w:rsid w:val="00D52F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CE067"/>
  <w15:chartTrackingRefBased/>
  <w15:docId w15:val="{316CFE6B-E437-4973-A253-9EA86BF57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A10"/>
    <w:pPr>
      <w:spacing w:after="0" w:line="240" w:lineRule="auto"/>
      <w:jc w:val="both"/>
    </w:pPr>
    <w:rPr>
      <w:rFonts w:ascii="Arial" w:eastAsia="Calibri" w:hAnsi="Arial" w:cs="Times New Roman"/>
    </w:rPr>
  </w:style>
  <w:style w:type="paragraph" w:styleId="Titre1">
    <w:name w:val="heading 1"/>
    <w:basedOn w:val="Normal"/>
    <w:next w:val="Normal"/>
    <w:link w:val="Titre1Car"/>
    <w:uiPriority w:val="9"/>
    <w:qFormat/>
    <w:rsid w:val="00A9587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5F7A10"/>
    <w:pPr>
      <w:spacing w:after="120"/>
      <w:outlineLvl w:val="1"/>
    </w:pPr>
    <w:rPr>
      <w:rFonts w:eastAsia="Times New Roman" w:cs="Arial"/>
      <w:b/>
      <w:color w:val="000000"/>
      <w:sz w:val="28"/>
      <w:szCs w:val="20"/>
      <w:lang w:eastAsia="fr-FR"/>
    </w:rPr>
  </w:style>
  <w:style w:type="paragraph" w:styleId="Titre3">
    <w:name w:val="heading 3"/>
    <w:basedOn w:val="Normal"/>
    <w:next w:val="Normal"/>
    <w:link w:val="Titre3Car"/>
    <w:uiPriority w:val="9"/>
    <w:qFormat/>
    <w:rsid w:val="005F7A10"/>
    <w:pPr>
      <w:numPr>
        <w:numId w:val="1"/>
      </w:numPr>
      <w:spacing w:after="120"/>
      <w:outlineLvl w:val="2"/>
    </w:pPr>
    <w:rPr>
      <w:rFonts w:eastAsia="Times New Roman" w:cs="Arial"/>
      <w:b/>
      <w:color w:val="000000"/>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F7A10"/>
    <w:rPr>
      <w:rFonts w:ascii="Arial" w:eastAsia="Times New Roman" w:hAnsi="Arial" w:cs="Arial"/>
      <w:b/>
      <w:color w:val="000000"/>
      <w:sz w:val="28"/>
      <w:szCs w:val="20"/>
      <w:lang w:eastAsia="fr-FR"/>
    </w:rPr>
  </w:style>
  <w:style w:type="character" w:customStyle="1" w:styleId="Titre3Car">
    <w:name w:val="Titre 3 Car"/>
    <w:basedOn w:val="Policepardfaut"/>
    <w:link w:val="Titre3"/>
    <w:uiPriority w:val="9"/>
    <w:rsid w:val="005F7A10"/>
    <w:rPr>
      <w:rFonts w:ascii="Arial" w:eastAsia="Times New Roman" w:hAnsi="Arial" w:cs="Arial"/>
      <w:b/>
      <w:color w:val="000000"/>
      <w:sz w:val="24"/>
      <w:szCs w:val="20"/>
      <w:lang w:eastAsia="fr-FR"/>
    </w:rPr>
  </w:style>
  <w:style w:type="paragraph" w:styleId="NormalWeb">
    <w:name w:val="Normal (Web)"/>
    <w:basedOn w:val="Normal"/>
    <w:uiPriority w:val="99"/>
    <w:rsid w:val="005F7A10"/>
    <w:pPr>
      <w:spacing w:before="100" w:beforeAutospacing="1" w:after="100" w:afterAutospacing="1"/>
    </w:pPr>
    <w:rPr>
      <w:rFonts w:ascii="Times New Roman" w:eastAsia="Times New Roman" w:hAnsi="Times New Roman"/>
      <w:sz w:val="24"/>
      <w:szCs w:val="24"/>
      <w:lang w:eastAsia="fr-FR"/>
    </w:rPr>
  </w:style>
  <w:style w:type="paragraph" w:styleId="Paragraphedeliste">
    <w:name w:val="List Paragraph"/>
    <w:basedOn w:val="Normal"/>
    <w:uiPriority w:val="34"/>
    <w:qFormat/>
    <w:rsid w:val="005F7A10"/>
    <w:pPr>
      <w:ind w:left="720"/>
      <w:contextualSpacing/>
    </w:pPr>
  </w:style>
  <w:style w:type="character" w:styleId="Accentuation">
    <w:name w:val="Emphasis"/>
    <w:basedOn w:val="Policepardfaut"/>
    <w:uiPriority w:val="20"/>
    <w:qFormat/>
    <w:rsid w:val="005F7A10"/>
    <w:rPr>
      <w:i/>
      <w:iCs/>
    </w:rPr>
  </w:style>
  <w:style w:type="character" w:customStyle="1" w:styleId="Titre1Car">
    <w:name w:val="Titre 1 Car"/>
    <w:basedOn w:val="Policepardfaut"/>
    <w:link w:val="Titre1"/>
    <w:uiPriority w:val="9"/>
    <w:rsid w:val="00A95871"/>
    <w:rPr>
      <w:rFonts w:asciiTheme="majorHAnsi" w:eastAsiaTheme="majorEastAsia" w:hAnsiTheme="majorHAnsi" w:cstheme="majorBidi"/>
      <w:color w:val="2E74B5" w:themeColor="accent1" w:themeShade="BF"/>
      <w:sz w:val="32"/>
      <w:szCs w:val="32"/>
    </w:rPr>
  </w:style>
  <w:style w:type="character" w:styleId="lev">
    <w:name w:val="Strong"/>
    <w:aliases w:val="a texte"/>
    <w:uiPriority w:val="22"/>
    <w:qFormat/>
    <w:rsid w:val="00A95871"/>
    <w:rPr>
      <w:b/>
      <w:bCs/>
    </w:rPr>
  </w:style>
  <w:style w:type="character" w:customStyle="1" w:styleId="tag-chapo">
    <w:name w:val="tag-chapo"/>
    <w:basedOn w:val="Policepardfaut"/>
    <w:rsid w:val="00A95871"/>
  </w:style>
  <w:style w:type="character" w:styleId="Lienhypertexte">
    <w:name w:val="Hyperlink"/>
    <w:uiPriority w:val="99"/>
    <w:unhideWhenUsed/>
    <w:rsid w:val="00173C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agicap.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424</Words>
  <Characters>2334</Characters>
  <Application>Microsoft Office Word</Application>
  <DocSecurity>0</DocSecurity>
  <Lines>19</Lines>
  <Paragraphs>5</Paragraphs>
  <ScaleCrop>false</ScaleCrop>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9</cp:revision>
  <dcterms:created xsi:type="dcterms:W3CDTF">2015-12-11T08:41:00Z</dcterms:created>
  <dcterms:modified xsi:type="dcterms:W3CDTF">2023-03-19T19:46:00Z</dcterms:modified>
</cp:coreProperties>
</file>