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E2F3" w:themeFill="accent5" w:themeFillTint="33"/>
        <w:tblLayout w:type="fixed"/>
        <w:tblLook w:val="04A0" w:firstRow="1" w:lastRow="0" w:firstColumn="1" w:lastColumn="0" w:noHBand="0" w:noVBand="1"/>
      </w:tblPr>
      <w:tblGrid>
        <w:gridCol w:w="1542"/>
        <w:gridCol w:w="6675"/>
        <w:gridCol w:w="850"/>
        <w:gridCol w:w="1017"/>
      </w:tblGrid>
      <w:tr w:rsidR="0003583D" w:rsidRPr="0027384D" w14:paraId="3C64E2D4" w14:textId="77777777" w:rsidTr="001D0852">
        <w:trPr>
          <w:trHeight w:val="801"/>
        </w:trPr>
        <w:tc>
          <w:tcPr>
            <w:tcW w:w="8217" w:type="dxa"/>
            <w:gridSpan w:val="2"/>
            <w:shd w:val="clear" w:color="auto" w:fill="D9E2F3" w:themeFill="accent5" w:themeFillTint="33"/>
            <w:vAlign w:val="center"/>
          </w:tcPr>
          <w:p w14:paraId="6D2F7489" w14:textId="77777777" w:rsidR="0003583D" w:rsidRPr="00965A28" w:rsidRDefault="0003583D" w:rsidP="001D0852">
            <w:pPr>
              <w:pStyle w:val="Titre2"/>
              <w:spacing w:before="120"/>
              <w:jc w:val="center"/>
              <w:rPr>
                <w:szCs w:val="22"/>
              </w:rPr>
            </w:pPr>
            <w:r w:rsidRPr="00965A28">
              <w:rPr>
                <w:szCs w:val="22"/>
              </w:rPr>
              <w:t xml:space="preserve">Mission </w:t>
            </w:r>
            <w:r>
              <w:rPr>
                <w:szCs w:val="22"/>
              </w:rPr>
              <w:t>6</w:t>
            </w:r>
            <w:r w:rsidRPr="00965A28">
              <w:rPr>
                <w:szCs w:val="22"/>
              </w:rPr>
              <w:t xml:space="preserve"> – </w:t>
            </w:r>
            <w:r>
              <w:rPr>
                <w:szCs w:val="22"/>
              </w:rPr>
              <w:t>Rédiger un courrier complexe à l’aide d’une IA</w:t>
            </w:r>
          </w:p>
        </w:tc>
        <w:tc>
          <w:tcPr>
            <w:tcW w:w="1867" w:type="dxa"/>
            <w:gridSpan w:val="2"/>
            <w:shd w:val="clear" w:color="auto" w:fill="D9E2F3" w:themeFill="accent5" w:themeFillTint="33"/>
            <w:vAlign w:val="center"/>
          </w:tcPr>
          <w:p w14:paraId="5096987D" w14:textId="77777777" w:rsidR="0003583D" w:rsidRPr="0027384D" w:rsidRDefault="0003583D" w:rsidP="001D0852">
            <w:pPr>
              <w:jc w:val="center"/>
              <w:rPr>
                <w:b/>
                <w:color w:val="000000" w:themeColor="text1"/>
              </w:rPr>
            </w:pPr>
            <w:r>
              <w:rPr>
                <w:noProof/>
                <w:color w:val="000000" w:themeColor="text1"/>
                <w:szCs w:val="20"/>
              </w:rPr>
              <w:drawing>
                <wp:inline distT="0" distB="0" distL="0" distR="0" wp14:anchorId="5EA2B620" wp14:editId="2331D6DF">
                  <wp:extent cx="867308" cy="828000"/>
                  <wp:effectExtent l="0" t="0" r="0" b="0"/>
                  <wp:docPr id="1921907190" name="Image 14" descr="Une image contenant disque compact, cercle, Graphique, graphism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1907190" name="Image 14" descr="Une image contenant disque compact, cercle, Graphique, graphisme&#10;&#10;Description générée automatiquement"/>
                          <pic:cNvPicPr/>
                        </pic:nvPicPr>
                        <pic:blipFill>
                          <a:blip r:embed="rId5" cstate="print">
                            <a:extLst>
                              <a:ext uri="{28A0092B-C50C-407E-A947-70E740481C1C}">
                                <a14:useLocalDpi xmlns:a14="http://schemas.microsoft.com/office/drawing/2010/main" val="0"/>
                              </a:ext>
                            </a:extLst>
                          </a:blip>
                          <a:stretch>
                            <a:fillRect/>
                          </a:stretch>
                        </pic:blipFill>
                        <pic:spPr>
                          <a:xfrm>
                            <a:off x="0" y="0"/>
                            <a:ext cx="867308" cy="828000"/>
                          </a:xfrm>
                          <a:prstGeom prst="rect">
                            <a:avLst/>
                          </a:prstGeom>
                        </pic:spPr>
                      </pic:pic>
                    </a:graphicData>
                  </a:graphic>
                </wp:inline>
              </w:drawing>
            </w:r>
          </w:p>
        </w:tc>
      </w:tr>
      <w:tr w:rsidR="0003583D" w:rsidRPr="0027384D" w14:paraId="01F43E50" w14:textId="77777777" w:rsidTr="001D0852">
        <w:trPr>
          <w:trHeight w:val="386"/>
        </w:trPr>
        <w:tc>
          <w:tcPr>
            <w:tcW w:w="1542" w:type="dxa"/>
            <w:shd w:val="clear" w:color="auto" w:fill="D9E2F3" w:themeFill="accent5" w:themeFillTint="33"/>
            <w:vAlign w:val="center"/>
          </w:tcPr>
          <w:p w14:paraId="055EBCAE" w14:textId="77777777" w:rsidR="0003583D" w:rsidRPr="0027384D" w:rsidRDefault="0003583D" w:rsidP="001D0852">
            <w:pPr>
              <w:jc w:val="left"/>
              <w:rPr>
                <w:color w:val="000000" w:themeColor="text1"/>
              </w:rPr>
            </w:pPr>
            <w:r w:rsidRPr="0027384D">
              <w:rPr>
                <w:color w:val="000000" w:themeColor="text1"/>
              </w:rPr>
              <w:t xml:space="preserve">Durée : </w:t>
            </w:r>
            <w:r>
              <w:rPr>
                <w:color w:val="000000" w:themeColor="text1"/>
              </w:rPr>
              <w:t>30’</w:t>
            </w:r>
          </w:p>
        </w:tc>
        <w:tc>
          <w:tcPr>
            <w:tcW w:w="6675" w:type="dxa"/>
            <w:shd w:val="clear" w:color="auto" w:fill="D9E2F3" w:themeFill="accent5" w:themeFillTint="33"/>
          </w:tcPr>
          <w:p w14:paraId="1E7914A3" w14:textId="77777777" w:rsidR="0003583D" w:rsidRPr="0027384D" w:rsidRDefault="0003583D" w:rsidP="001D0852">
            <w:pPr>
              <w:jc w:val="center"/>
              <w:rPr>
                <w:color w:val="000000" w:themeColor="text1"/>
              </w:rPr>
            </w:pPr>
            <w:r w:rsidRPr="00956391">
              <w:rPr>
                <w:bCs/>
                <w:noProof/>
              </w:rPr>
              <w:drawing>
                <wp:inline distT="0" distB="0" distL="0" distR="0" wp14:anchorId="4A0CFC68" wp14:editId="6F3C01FD">
                  <wp:extent cx="324000" cy="324000"/>
                  <wp:effectExtent l="0" t="0" r="0" b="0"/>
                  <wp:docPr id="1299876757" name="Graphique 1299876757" descr="Homm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que 2" descr="Homme avec un remplissage uni"/>
                          <pic:cNvPicPr/>
                        </pic:nvPicPr>
                        <pic:blipFill>
                          <a:blip r:embed="rId6" cstate="print">
                            <a:extLst>
                              <a:ext uri="{28A0092B-C50C-407E-A947-70E740481C1C}">
                                <a14:useLocalDpi xmlns:a14="http://schemas.microsoft.com/office/drawing/2010/main" val="0"/>
                              </a:ext>
                              <a:ext uri="{96DAC541-7B7A-43D3-8B79-37D633B846F1}">
                                <asvg:svgBlip xmlns:asvg="http://schemas.microsoft.com/office/drawing/2016/SVG/main" r:embed="rId7"/>
                              </a:ext>
                            </a:extLst>
                          </a:blip>
                          <a:stretch>
                            <a:fillRect/>
                          </a:stretch>
                        </pic:blipFill>
                        <pic:spPr>
                          <a:xfrm>
                            <a:off x="0" y="0"/>
                            <a:ext cx="324000" cy="324000"/>
                          </a:xfrm>
                          <a:prstGeom prst="rect">
                            <a:avLst/>
                          </a:prstGeom>
                        </pic:spPr>
                      </pic:pic>
                    </a:graphicData>
                  </a:graphic>
                </wp:inline>
              </w:drawing>
            </w:r>
          </w:p>
        </w:tc>
        <w:tc>
          <w:tcPr>
            <w:tcW w:w="850" w:type="dxa"/>
            <w:shd w:val="clear" w:color="auto" w:fill="D9E2F3" w:themeFill="accent5" w:themeFillTint="33"/>
          </w:tcPr>
          <w:p w14:paraId="26197840" w14:textId="77777777" w:rsidR="0003583D" w:rsidRPr="0027384D" w:rsidRDefault="0003583D" w:rsidP="001D0852">
            <w:pPr>
              <w:jc w:val="center"/>
              <w:rPr>
                <w:color w:val="000000" w:themeColor="text1"/>
              </w:rPr>
            </w:pPr>
            <w:r>
              <w:rPr>
                <w:noProof/>
                <w:color w:val="000000" w:themeColor="text1"/>
              </w:rPr>
              <w:drawing>
                <wp:inline distT="0" distB="0" distL="0" distR="0" wp14:anchorId="6C252970" wp14:editId="68B3A87E">
                  <wp:extent cx="402590" cy="396240"/>
                  <wp:effectExtent l="0" t="0" r="0" b="3810"/>
                  <wp:docPr id="318283449"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8283449" name="Image 318283449"/>
                          <pic:cNvPicPr/>
                        </pic:nvPicPr>
                        <pic:blipFill>
                          <a:blip r:embed="rId8" cstate="print">
                            <a:extLst>
                              <a:ext uri="{28A0092B-C50C-407E-A947-70E740481C1C}">
                                <a14:useLocalDpi xmlns:a14="http://schemas.microsoft.com/office/drawing/2010/main" val="0"/>
                              </a:ext>
                            </a:extLst>
                          </a:blip>
                          <a:stretch>
                            <a:fillRect/>
                          </a:stretch>
                        </pic:blipFill>
                        <pic:spPr>
                          <a:xfrm>
                            <a:off x="0" y="0"/>
                            <a:ext cx="402590" cy="396240"/>
                          </a:xfrm>
                          <a:prstGeom prst="rect">
                            <a:avLst/>
                          </a:prstGeom>
                        </pic:spPr>
                      </pic:pic>
                    </a:graphicData>
                  </a:graphic>
                </wp:inline>
              </w:drawing>
            </w:r>
          </w:p>
        </w:tc>
        <w:tc>
          <w:tcPr>
            <w:tcW w:w="1017" w:type="dxa"/>
            <w:shd w:val="clear" w:color="auto" w:fill="D9E2F3" w:themeFill="accent5" w:themeFillTint="33"/>
            <w:vAlign w:val="center"/>
          </w:tcPr>
          <w:p w14:paraId="3A26EA38" w14:textId="77777777" w:rsidR="0003583D" w:rsidRPr="007D37C6" w:rsidRDefault="0003583D" w:rsidP="001D0852">
            <w:pPr>
              <w:jc w:val="center"/>
              <w:rPr>
                <w:bCs/>
                <w:color w:val="000000" w:themeColor="text1"/>
              </w:rPr>
            </w:pPr>
            <w:r w:rsidRPr="007D37C6">
              <w:rPr>
                <w:bCs/>
                <w:color w:val="000000" w:themeColor="text1"/>
              </w:rPr>
              <w:t>Source</w:t>
            </w:r>
          </w:p>
        </w:tc>
      </w:tr>
    </w:tbl>
    <w:p w14:paraId="12073FFB" w14:textId="77777777" w:rsidR="0003583D" w:rsidRDefault="0003583D" w:rsidP="0003583D">
      <w:pPr>
        <w:spacing w:before="120" w:after="120"/>
        <w:rPr>
          <w:b/>
          <w:sz w:val="24"/>
        </w:rPr>
      </w:pPr>
      <w:r>
        <w:rPr>
          <w:b/>
          <w:sz w:val="24"/>
        </w:rPr>
        <w:t>Votre entreprise</w:t>
      </w:r>
      <w:r w:rsidRPr="002E120E">
        <w:rPr>
          <w:b/>
          <w:bCs/>
          <w:noProof/>
          <w:color w:val="000000"/>
          <w:sz w:val="18"/>
          <w:szCs w:val="18"/>
        </w:rPr>
        <w:drawing>
          <wp:anchor distT="0" distB="0" distL="114300" distR="114300" simplePos="0" relativeHeight="251659264" behindDoc="0" locked="0" layoutInCell="1" allowOverlap="1" wp14:anchorId="4F53DEE3" wp14:editId="5F9A80A1">
            <wp:simplePos x="0" y="0"/>
            <wp:positionH relativeFrom="column">
              <wp:posOffset>4960913</wp:posOffset>
            </wp:positionH>
            <wp:positionV relativeFrom="paragraph">
              <wp:posOffset>314276</wp:posOffset>
            </wp:positionV>
            <wp:extent cx="1380490" cy="984885"/>
            <wp:effectExtent l="0" t="0" r="0" b="5715"/>
            <wp:wrapSquare wrapText="bothSides"/>
            <wp:docPr id="46357224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3572246" name="Image 463572246"/>
                    <pic:cNvPicPr/>
                  </pic:nvPicPr>
                  <pic:blipFill rotWithShape="1">
                    <a:blip r:embed="rId9" cstate="print">
                      <a:extLst>
                        <a:ext uri="{28A0092B-C50C-407E-A947-70E740481C1C}">
                          <a14:useLocalDpi xmlns:a14="http://schemas.microsoft.com/office/drawing/2010/main" val="0"/>
                        </a:ext>
                      </a:extLst>
                    </a:blip>
                    <a:srcRect r="5915"/>
                    <a:stretch>
                      <a:fillRect/>
                    </a:stretch>
                  </pic:blipFill>
                  <pic:spPr bwMode="auto">
                    <a:xfrm>
                      <a:off x="0" y="0"/>
                      <a:ext cx="1380490" cy="9848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B2E4D83" w14:textId="77777777" w:rsidR="0003583D" w:rsidRPr="0003583D" w:rsidRDefault="0003583D" w:rsidP="0003583D">
      <w:pPr>
        <w:rPr>
          <w:sz w:val="20"/>
          <w:szCs w:val="20"/>
        </w:rPr>
      </w:pPr>
      <w:bookmarkStart w:id="0" w:name="_Hlk199505186"/>
      <w:r w:rsidRPr="0003583D">
        <w:rPr>
          <w:sz w:val="20"/>
          <w:szCs w:val="20"/>
        </w:rPr>
        <w:t xml:space="preserve">L’entreprise CATADOM est spécialisée dans l’anodisation de l’aluminium, un procédé de traitement de surface par électrochimie qui modifie les propriétés du métal pour améliorer sa résistance à la corrosion et son esthétique. </w:t>
      </w:r>
    </w:p>
    <w:p w14:paraId="7A607673" w14:textId="77777777" w:rsidR="0003583D" w:rsidRPr="0003583D" w:rsidRDefault="0003583D" w:rsidP="0003583D">
      <w:pPr>
        <w:spacing w:before="120"/>
        <w:rPr>
          <w:sz w:val="20"/>
          <w:szCs w:val="20"/>
        </w:rPr>
      </w:pPr>
      <w:r w:rsidRPr="0003583D">
        <w:rPr>
          <w:sz w:val="20"/>
          <w:szCs w:val="20"/>
        </w:rPr>
        <w:t xml:space="preserve">CATADOM collabore principalement avec des décolleteurs et des emboutisseurs de pièces en aluminium pour des secteurs exigeants tels que l’automobile, la parfumerie, le luxe, le sport et l’industrie navale. </w:t>
      </w:r>
    </w:p>
    <w:p w14:paraId="61AD0E24" w14:textId="77777777" w:rsidR="0003583D" w:rsidRPr="0003583D" w:rsidRDefault="0003583D" w:rsidP="0003583D">
      <w:pPr>
        <w:spacing w:before="120"/>
        <w:rPr>
          <w:sz w:val="20"/>
          <w:szCs w:val="20"/>
        </w:rPr>
      </w:pPr>
      <w:r w:rsidRPr="0003583D">
        <w:rPr>
          <w:sz w:val="20"/>
          <w:szCs w:val="20"/>
        </w:rPr>
        <w:t>L’entreprise est dirigée par Florence Gonzales.</w:t>
      </w:r>
      <w:bookmarkEnd w:id="0"/>
    </w:p>
    <w:p w14:paraId="4704585D" w14:textId="77777777" w:rsidR="0003583D" w:rsidRPr="0003583D" w:rsidRDefault="0003583D" w:rsidP="0003583D">
      <w:pPr>
        <w:autoSpaceDE w:val="0"/>
        <w:autoSpaceDN w:val="0"/>
        <w:adjustRightInd w:val="0"/>
        <w:spacing w:before="120"/>
        <w:jc w:val="left"/>
        <w:rPr>
          <w:color w:val="000000"/>
          <w:sz w:val="20"/>
          <w:szCs w:val="20"/>
        </w:rPr>
      </w:pPr>
      <w:r w:rsidRPr="0003583D">
        <w:rPr>
          <w:b/>
          <w:bCs/>
          <w:color w:val="000000"/>
          <w:sz w:val="20"/>
          <w:szCs w:val="20"/>
        </w:rPr>
        <w:t xml:space="preserve">SA </w:t>
      </w:r>
      <w:r w:rsidRPr="0003583D">
        <w:rPr>
          <w:color w:val="000000"/>
          <w:sz w:val="20"/>
          <w:szCs w:val="20"/>
        </w:rPr>
        <w:t>au capital de 20 000 €.</w:t>
      </w:r>
    </w:p>
    <w:p w14:paraId="0CBEC719" w14:textId="77777777" w:rsidR="0003583D" w:rsidRPr="0003583D" w:rsidRDefault="0003583D" w:rsidP="0003583D">
      <w:pPr>
        <w:autoSpaceDE w:val="0"/>
        <w:autoSpaceDN w:val="0"/>
        <w:adjustRightInd w:val="0"/>
        <w:jc w:val="left"/>
        <w:rPr>
          <w:color w:val="000000"/>
          <w:sz w:val="20"/>
          <w:szCs w:val="20"/>
        </w:rPr>
      </w:pPr>
      <w:r w:rsidRPr="0003583D">
        <w:rPr>
          <w:b/>
          <w:bCs/>
          <w:color w:val="000000"/>
          <w:sz w:val="20"/>
          <w:szCs w:val="20"/>
        </w:rPr>
        <w:t xml:space="preserve">Adresse : </w:t>
      </w:r>
      <w:r w:rsidRPr="0003583D">
        <w:rPr>
          <w:color w:val="000000"/>
          <w:sz w:val="20"/>
          <w:szCs w:val="20"/>
        </w:rPr>
        <w:t>233 avenue Louis Mouillard, 69500 Bron</w:t>
      </w:r>
    </w:p>
    <w:p w14:paraId="0DE8BF5C" w14:textId="77777777" w:rsidR="0003583D" w:rsidRPr="0003583D" w:rsidRDefault="0003583D" w:rsidP="0003583D">
      <w:pPr>
        <w:autoSpaceDE w:val="0"/>
        <w:autoSpaceDN w:val="0"/>
        <w:adjustRightInd w:val="0"/>
        <w:jc w:val="left"/>
        <w:rPr>
          <w:color w:val="000000"/>
          <w:sz w:val="20"/>
          <w:szCs w:val="20"/>
        </w:rPr>
      </w:pPr>
      <w:r w:rsidRPr="0003583D">
        <w:rPr>
          <w:b/>
          <w:bCs/>
          <w:color w:val="000000"/>
          <w:sz w:val="20"/>
          <w:szCs w:val="20"/>
        </w:rPr>
        <w:t xml:space="preserve">Tél. : </w:t>
      </w:r>
      <w:r w:rsidRPr="0003583D">
        <w:rPr>
          <w:color w:val="000000"/>
          <w:sz w:val="20"/>
          <w:szCs w:val="20"/>
        </w:rPr>
        <w:t xml:space="preserve">04 72 68 XX </w:t>
      </w:r>
      <w:proofErr w:type="spellStart"/>
      <w:r w:rsidRPr="0003583D">
        <w:rPr>
          <w:color w:val="000000"/>
          <w:sz w:val="20"/>
          <w:szCs w:val="20"/>
        </w:rPr>
        <w:t>XX</w:t>
      </w:r>
      <w:proofErr w:type="spellEnd"/>
      <w:r w:rsidRPr="0003583D">
        <w:rPr>
          <w:color w:val="000000"/>
          <w:sz w:val="20"/>
          <w:szCs w:val="20"/>
        </w:rPr>
        <w:t xml:space="preserve"> – </w:t>
      </w:r>
      <w:r w:rsidRPr="0003583D">
        <w:rPr>
          <w:b/>
          <w:bCs/>
          <w:color w:val="000000"/>
          <w:sz w:val="20"/>
          <w:szCs w:val="20"/>
        </w:rPr>
        <w:t xml:space="preserve">Fax : </w:t>
      </w:r>
      <w:r w:rsidRPr="0003583D">
        <w:rPr>
          <w:color w:val="000000"/>
          <w:sz w:val="20"/>
          <w:szCs w:val="20"/>
        </w:rPr>
        <w:t xml:space="preserve">04 72 68 XX </w:t>
      </w:r>
      <w:proofErr w:type="spellStart"/>
      <w:r w:rsidRPr="0003583D">
        <w:rPr>
          <w:color w:val="000000"/>
          <w:sz w:val="20"/>
          <w:szCs w:val="20"/>
        </w:rPr>
        <w:t>XX</w:t>
      </w:r>
      <w:proofErr w:type="spellEnd"/>
      <w:r w:rsidRPr="0003583D">
        <w:rPr>
          <w:color w:val="000000"/>
          <w:sz w:val="20"/>
          <w:szCs w:val="20"/>
        </w:rPr>
        <w:t>.</w:t>
      </w:r>
    </w:p>
    <w:p w14:paraId="3501E585" w14:textId="77777777" w:rsidR="0003583D" w:rsidRPr="0003583D" w:rsidRDefault="0003583D" w:rsidP="0003583D">
      <w:pPr>
        <w:autoSpaceDE w:val="0"/>
        <w:autoSpaceDN w:val="0"/>
        <w:adjustRightInd w:val="0"/>
        <w:jc w:val="left"/>
        <w:rPr>
          <w:color w:val="000000"/>
          <w:sz w:val="20"/>
          <w:szCs w:val="20"/>
        </w:rPr>
      </w:pPr>
      <w:r w:rsidRPr="0003583D">
        <w:rPr>
          <w:b/>
          <w:bCs/>
          <w:color w:val="000000"/>
          <w:sz w:val="20"/>
          <w:szCs w:val="20"/>
        </w:rPr>
        <w:t xml:space="preserve">Site : </w:t>
      </w:r>
      <w:r w:rsidRPr="0003583D">
        <w:rPr>
          <w:color w:val="000000"/>
          <w:sz w:val="20"/>
          <w:szCs w:val="20"/>
        </w:rPr>
        <w:t xml:space="preserve">www.catadom.com – </w:t>
      </w:r>
      <w:hyperlink r:id="rId10" w:history="1">
        <w:r w:rsidRPr="0003583D">
          <w:rPr>
            <w:rStyle w:val="Lienhypertexte"/>
            <w:sz w:val="20"/>
            <w:szCs w:val="20"/>
          </w:rPr>
          <w:t>info@catadom.com</w:t>
        </w:r>
      </w:hyperlink>
      <w:r w:rsidRPr="0003583D">
        <w:rPr>
          <w:color w:val="000000"/>
          <w:sz w:val="20"/>
          <w:szCs w:val="20"/>
        </w:rPr>
        <w:t xml:space="preserve">. </w:t>
      </w:r>
      <w:r w:rsidRPr="0003583D">
        <w:rPr>
          <w:b/>
          <w:bCs/>
          <w:color w:val="000000"/>
          <w:sz w:val="20"/>
          <w:szCs w:val="20"/>
        </w:rPr>
        <w:t xml:space="preserve">SIRET : </w:t>
      </w:r>
      <w:r w:rsidRPr="0003583D">
        <w:rPr>
          <w:color w:val="000000"/>
          <w:sz w:val="20"/>
          <w:szCs w:val="20"/>
        </w:rPr>
        <w:t>625 357 810 69785.</w:t>
      </w:r>
    </w:p>
    <w:p w14:paraId="24CEE287" w14:textId="77777777" w:rsidR="0003583D" w:rsidRPr="0003583D" w:rsidRDefault="0003583D" w:rsidP="0003583D">
      <w:pPr>
        <w:jc w:val="left"/>
        <w:rPr>
          <w:sz w:val="20"/>
          <w:szCs w:val="20"/>
          <w:lang w:eastAsia="fr-FR"/>
        </w:rPr>
      </w:pPr>
      <w:r w:rsidRPr="0003583D">
        <w:rPr>
          <w:b/>
          <w:bCs/>
          <w:iCs/>
          <w:color w:val="000000"/>
          <w:sz w:val="20"/>
          <w:szCs w:val="20"/>
        </w:rPr>
        <w:t xml:space="preserve">APE/NAF : </w:t>
      </w:r>
      <w:r w:rsidRPr="0003583D">
        <w:rPr>
          <w:iCs/>
          <w:color w:val="000000"/>
          <w:sz w:val="20"/>
          <w:szCs w:val="20"/>
        </w:rPr>
        <w:t>2571Z</w:t>
      </w:r>
      <w:r w:rsidRPr="0003583D">
        <w:rPr>
          <w:color w:val="000000"/>
          <w:sz w:val="20"/>
          <w:szCs w:val="20"/>
        </w:rPr>
        <w:t>.</w:t>
      </w:r>
    </w:p>
    <w:p w14:paraId="2FD52C43" w14:textId="77777777" w:rsidR="0003583D" w:rsidRDefault="0003583D" w:rsidP="0003583D">
      <w:pPr>
        <w:ind w:left="284" w:right="282"/>
        <w:jc w:val="center"/>
        <w:rPr>
          <w:b/>
          <w:szCs w:val="20"/>
          <w:lang w:eastAsia="fr-FR"/>
        </w:rPr>
      </w:pPr>
    </w:p>
    <w:p w14:paraId="200FCA4D" w14:textId="77777777" w:rsidR="0003583D" w:rsidRDefault="0003583D" w:rsidP="0003583D">
      <w:pPr>
        <w:ind w:right="282"/>
        <w:jc w:val="left"/>
        <w:rPr>
          <w:b/>
          <w:szCs w:val="20"/>
          <w:lang w:eastAsia="fr-FR"/>
        </w:rPr>
      </w:pPr>
      <w:r>
        <w:rPr>
          <w:b/>
          <w:sz w:val="24"/>
        </w:rPr>
        <w:t>Contexte professionnel</w:t>
      </w:r>
    </w:p>
    <w:p w14:paraId="18D0BC26" w14:textId="77777777" w:rsidR="0003583D" w:rsidRPr="0003583D" w:rsidRDefault="0003583D" w:rsidP="0003583D">
      <w:pPr>
        <w:spacing w:before="120"/>
        <w:rPr>
          <w:sz w:val="20"/>
          <w:szCs w:val="20"/>
          <w:lang w:eastAsia="fr-FR"/>
        </w:rPr>
      </w:pPr>
      <w:r w:rsidRPr="0003583D">
        <w:rPr>
          <w:sz w:val="20"/>
          <w:szCs w:val="20"/>
          <w:lang w:eastAsia="fr-FR"/>
        </w:rPr>
        <w:t xml:space="preserve">La société </w:t>
      </w:r>
      <w:r w:rsidRPr="0003583D">
        <w:rPr>
          <w:b/>
          <w:bCs/>
          <w:sz w:val="20"/>
          <w:szCs w:val="20"/>
          <w:lang w:eastAsia="fr-FR"/>
        </w:rPr>
        <w:t>Catadom</w:t>
      </w:r>
      <w:r w:rsidRPr="0003583D">
        <w:rPr>
          <w:sz w:val="20"/>
          <w:szCs w:val="20"/>
          <w:lang w:eastAsia="fr-FR"/>
        </w:rPr>
        <w:t xml:space="preserve">, travaille depuis plusieurs années avec La société </w:t>
      </w:r>
      <w:r w:rsidRPr="0003583D">
        <w:rPr>
          <w:b/>
          <w:bCs/>
          <w:sz w:val="20"/>
          <w:szCs w:val="20"/>
          <w:lang w:eastAsia="fr-FR"/>
        </w:rPr>
        <w:t>Arve’Industrie</w:t>
      </w:r>
      <w:r w:rsidRPr="0003583D">
        <w:rPr>
          <w:sz w:val="20"/>
          <w:szCs w:val="20"/>
          <w:lang w:eastAsia="fr-FR"/>
        </w:rPr>
        <w:t xml:space="preserve">, un client industriel important, avec lequel les relations commerciales ont toujours été satisfaisantes. Au cours du trimestre précédent, ce client a passé des </w:t>
      </w:r>
      <w:r w:rsidRPr="0003583D">
        <w:rPr>
          <w:b/>
          <w:bCs/>
          <w:sz w:val="20"/>
          <w:szCs w:val="20"/>
          <w:lang w:eastAsia="fr-FR"/>
        </w:rPr>
        <w:t>commandes d’un montant significatif</w:t>
      </w:r>
      <w:r w:rsidRPr="0003583D">
        <w:rPr>
          <w:sz w:val="20"/>
          <w:szCs w:val="20"/>
          <w:lang w:eastAsia="fr-FR"/>
        </w:rPr>
        <w:t>, qui ont donné lieu aux facturations suivantes :</w:t>
      </w:r>
    </w:p>
    <w:p w14:paraId="1ACEBEEC" w14:textId="77777777" w:rsidR="0003583D" w:rsidRPr="0003583D" w:rsidRDefault="0003583D" w:rsidP="0003583D">
      <w:pPr>
        <w:numPr>
          <w:ilvl w:val="0"/>
          <w:numId w:val="11"/>
        </w:numPr>
        <w:jc w:val="left"/>
        <w:rPr>
          <w:sz w:val="20"/>
          <w:szCs w:val="20"/>
          <w:lang w:eastAsia="fr-FR"/>
        </w:rPr>
      </w:pPr>
      <w:r w:rsidRPr="0003583D">
        <w:rPr>
          <w:b/>
          <w:bCs/>
          <w:sz w:val="20"/>
          <w:szCs w:val="20"/>
          <w:lang w:eastAsia="fr-FR"/>
        </w:rPr>
        <w:t>Facture n° 25-802</w:t>
      </w:r>
      <w:r w:rsidRPr="0003583D">
        <w:rPr>
          <w:sz w:val="20"/>
          <w:szCs w:val="20"/>
          <w:lang w:eastAsia="fr-FR"/>
        </w:rPr>
        <w:t xml:space="preserve"> du </w:t>
      </w:r>
      <w:r w:rsidRPr="0003583D">
        <w:rPr>
          <w:b/>
          <w:bCs/>
          <w:sz w:val="20"/>
          <w:szCs w:val="20"/>
          <w:lang w:eastAsia="fr-FR"/>
        </w:rPr>
        <w:t xml:space="preserve">15/02/20xx : </w:t>
      </w:r>
      <w:r w:rsidRPr="0003583D">
        <w:rPr>
          <w:sz w:val="20"/>
          <w:szCs w:val="20"/>
          <w:lang w:eastAsia="fr-FR"/>
        </w:rPr>
        <w:t xml:space="preserve">Montant TTC : </w:t>
      </w:r>
      <w:r w:rsidRPr="0003583D">
        <w:rPr>
          <w:b/>
          <w:bCs/>
          <w:sz w:val="20"/>
          <w:szCs w:val="20"/>
          <w:lang w:eastAsia="fr-FR"/>
        </w:rPr>
        <w:t>15 623 €</w:t>
      </w:r>
    </w:p>
    <w:p w14:paraId="087F114B" w14:textId="77777777" w:rsidR="0003583D" w:rsidRPr="0003583D" w:rsidRDefault="0003583D" w:rsidP="0003583D">
      <w:pPr>
        <w:numPr>
          <w:ilvl w:val="0"/>
          <w:numId w:val="11"/>
        </w:numPr>
        <w:jc w:val="left"/>
        <w:rPr>
          <w:sz w:val="20"/>
          <w:szCs w:val="20"/>
          <w:lang w:eastAsia="fr-FR"/>
        </w:rPr>
      </w:pPr>
      <w:r w:rsidRPr="0003583D">
        <w:rPr>
          <w:b/>
          <w:bCs/>
          <w:sz w:val="20"/>
          <w:szCs w:val="20"/>
          <w:lang w:eastAsia="fr-FR"/>
        </w:rPr>
        <w:t>Facture n° 25-867</w:t>
      </w:r>
      <w:r w:rsidRPr="0003583D">
        <w:rPr>
          <w:sz w:val="20"/>
          <w:szCs w:val="20"/>
          <w:lang w:eastAsia="fr-FR"/>
        </w:rPr>
        <w:t xml:space="preserve"> du </w:t>
      </w:r>
      <w:r w:rsidRPr="0003583D">
        <w:rPr>
          <w:b/>
          <w:bCs/>
          <w:sz w:val="20"/>
          <w:szCs w:val="20"/>
          <w:lang w:eastAsia="fr-FR"/>
        </w:rPr>
        <w:t xml:space="preserve">15/02/20xx : </w:t>
      </w:r>
      <w:r w:rsidRPr="0003583D">
        <w:rPr>
          <w:sz w:val="20"/>
          <w:szCs w:val="20"/>
          <w:lang w:eastAsia="fr-FR"/>
        </w:rPr>
        <w:t xml:space="preserve">Montant TTC : </w:t>
      </w:r>
      <w:r w:rsidRPr="0003583D">
        <w:rPr>
          <w:b/>
          <w:bCs/>
          <w:sz w:val="20"/>
          <w:szCs w:val="20"/>
          <w:lang w:eastAsia="fr-FR"/>
        </w:rPr>
        <w:t>8 920 €</w:t>
      </w:r>
    </w:p>
    <w:p w14:paraId="0DC72E82" w14:textId="77777777" w:rsidR="0003583D" w:rsidRPr="0003583D" w:rsidRDefault="0003583D" w:rsidP="0003583D">
      <w:pPr>
        <w:spacing w:before="120"/>
        <w:jc w:val="left"/>
        <w:rPr>
          <w:sz w:val="20"/>
          <w:szCs w:val="20"/>
          <w:lang w:eastAsia="fr-FR"/>
        </w:rPr>
      </w:pPr>
      <w:r w:rsidRPr="0003583D">
        <w:rPr>
          <w:sz w:val="20"/>
          <w:szCs w:val="20"/>
          <w:lang w:eastAsia="fr-FR"/>
        </w:rPr>
        <w:t xml:space="preserve">Les conditions contractuelles prévoient un </w:t>
      </w:r>
      <w:r w:rsidRPr="0003583D">
        <w:rPr>
          <w:b/>
          <w:bCs/>
          <w:sz w:val="20"/>
          <w:szCs w:val="20"/>
          <w:lang w:eastAsia="fr-FR"/>
        </w:rPr>
        <w:t>paiement à 30 jours</w:t>
      </w:r>
      <w:r w:rsidRPr="0003583D">
        <w:rPr>
          <w:sz w:val="20"/>
          <w:szCs w:val="20"/>
          <w:lang w:eastAsia="fr-FR"/>
        </w:rPr>
        <w:t>.</w:t>
      </w:r>
    </w:p>
    <w:p w14:paraId="2D4FF6E9" w14:textId="77777777" w:rsidR="0003583D" w:rsidRPr="0003583D" w:rsidRDefault="0003583D" w:rsidP="0003583D">
      <w:pPr>
        <w:tabs>
          <w:tab w:val="num" w:pos="720"/>
        </w:tabs>
        <w:spacing w:before="120"/>
        <w:jc w:val="left"/>
        <w:rPr>
          <w:sz w:val="20"/>
          <w:szCs w:val="20"/>
          <w:lang w:eastAsia="fr-FR"/>
        </w:rPr>
      </w:pPr>
      <w:r w:rsidRPr="0003583D">
        <w:rPr>
          <w:sz w:val="20"/>
          <w:szCs w:val="20"/>
          <w:lang w:eastAsia="fr-FR"/>
        </w:rPr>
        <w:t>À ce jour, aucun règlement n’a été effectué, malgré plusieurs relances téléphoniques restées sans effet et l’envoi d’un courrier recommandé avec accusé de réception.</w:t>
      </w:r>
    </w:p>
    <w:p w14:paraId="6FC01FA2" w14:textId="77777777" w:rsidR="0003583D" w:rsidRPr="0003583D" w:rsidRDefault="0003583D" w:rsidP="0003583D">
      <w:pPr>
        <w:spacing w:before="120"/>
        <w:jc w:val="left"/>
        <w:rPr>
          <w:sz w:val="20"/>
          <w:szCs w:val="20"/>
          <w:lang w:eastAsia="fr-FR"/>
        </w:rPr>
      </w:pPr>
      <w:r w:rsidRPr="0003583D">
        <w:rPr>
          <w:sz w:val="20"/>
          <w:szCs w:val="20"/>
          <w:lang w:eastAsia="fr-FR"/>
        </w:rPr>
        <w:t xml:space="preserve">Face à cette situation, le </w:t>
      </w:r>
      <w:r w:rsidRPr="0003583D">
        <w:rPr>
          <w:b/>
          <w:bCs/>
          <w:sz w:val="20"/>
          <w:szCs w:val="20"/>
          <w:lang w:eastAsia="fr-FR"/>
        </w:rPr>
        <w:t>directeur de la société Arve’Industrie</w:t>
      </w:r>
      <w:r w:rsidRPr="0003583D">
        <w:rPr>
          <w:sz w:val="20"/>
          <w:szCs w:val="20"/>
          <w:lang w:eastAsia="fr-FR"/>
        </w:rPr>
        <w:t xml:space="preserve"> a pris l’initiative de contacter personnellement M</w:t>
      </w:r>
      <w:r w:rsidRPr="0003583D">
        <w:rPr>
          <w:sz w:val="20"/>
          <w:szCs w:val="20"/>
          <w:vertAlign w:val="superscript"/>
          <w:lang w:eastAsia="fr-FR"/>
        </w:rPr>
        <w:t>me</w:t>
      </w:r>
      <w:r w:rsidRPr="0003583D">
        <w:rPr>
          <w:sz w:val="20"/>
          <w:szCs w:val="20"/>
          <w:lang w:eastAsia="fr-FR"/>
        </w:rPr>
        <w:t xml:space="preserve"> Gonzales, dirigeante de l’entreprise Catadom. </w:t>
      </w:r>
    </w:p>
    <w:p w14:paraId="388A85A2" w14:textId="77777777" w:rsidR="0003583D" w:rsidRPr="0003583D" w:rsidRDefault="0003583D" w:rsidP="0003583D">
      <w:pPr>
        <w:spacing w:before="120"/>
        <w:rPr>
          <w:sz w:val="20"/>
          <w:szCs w:val="20"/>
          <w:lang w:eastAsia="fr-FR"/>
        </w:rPr>
      </w:pPr>
      <w:r w:rsidRPr="0003583D">
        <w:rPr>
          <w:sz w:val="20"/>
          <w:szCs w:val="20"/>
          <w:lang w:eastAsia="fr-FR"/>
        </w:rPr>
        <w:t xml:space="preserve">Celui-ci lui a expliqué que son entreprise traverse actuellement de </w:t>
      </w:r>
      <w:r w:rsidRPr="0003583D">
        <w:rPr>
          <w:b/>
          <w:bCs/>
          <w:sz w:val="20"/>
          <w:szCs w:val="20"/>
          <w:lang w:eastAsia="fr-FR"/>
        </w:rPr>
        <w:t>graves difficultés de trésorerie</w:t>
      </w:r>
      <w:r w:rsidRPr="0003583D">
        <w:rPr>
          <w:sz w:val="20"/>
          <w:szCs w:val="20"/>
          <w:lang w:eastAsia="fr-FR"/>
        </w:rPr>
        <w:t>, consécutives à la défection d’un client majeur. Afin de surmonter cette période délicate, l’entreprise a sollicité le soutien de sa banque. Cette dernière étudie actuellement le dossier et exige certaines garanties avant de s’engager définitivement. Selon les informations communiquées par sa banque, un prêt de soutien sera accepté et les fonds devraient être débloqués dans un délai d’environ quinze jours.</w:t>
      </w:r>
    </w:p>
    <w:p w14:paraId="35357464" w14:textId="77777777" w:rsidR="0003583D" w:rsidRPr="0003583D" w:rsidRDefault="0003583D" w:rsidP="0003583D">
      <w:pPr>
        <w:spacing w:before="120"/>
        <w:rPr>
          <w:sz w:val="20"/>
          <w:szCs w:val="20"/>
          <w:lang w:eastAsia="fr-FR"/>
        </w:rPr>
      </w:pPr>
      <w:r w:rsidRPr="0003583D">
        <w:rPr>
          <w:sz w:val="20"/>
          <w:szCs w:val="20"/>
          <w:lang w:eastAsia="fr-FR"/>
        </w:rPr>
        <w:t>Dans l’attente, l’entreprise Arve’Industrie sollicite officiellement un rééchelonnement du règlement des deux factures, selon les modalités suivantes :</w:t>
      </w:r>
    </w:p>
    <w:p w14:paraId="5EBEE051" w14:textId="77777777" w:rsidR="0003583D" w:rsidRPr="0003583D" w:rsidRDefault="0003583D" w:rsidP="0003583D">
      <w:pPr>
        <w:numPr>
          <w:ilvl w:val="0"/>
          <w:numId w:val="12"/>
        </w:numPr>
        <w:jc w:val="left"/>
        <w:rPr>
          <w:sz w:val="20"/>
          <w:szCs w:val="20"/>
          <w:lang w:eastAsia="fr-FR"/>
        </w:rPr>
      </w:pPr>
      <w:r w:rsidRPr="0003583D">
        <w:rPr>
          <w:sz w:val="20"/>
          <w:szCs w:val="20"/>
          <w:lang w:eastAsia="fr-FR"/>
        </w:rPr>
        <w:t>1/3 du montant total dans 15 jours ;</w:t>
      </w:r>
    </w:p>
    <w:p w14:paraId="5BB061E9" w14:textId="77777777" w:rsidR="0003583D" w:rsidRPr="0003583D" w:rsidRDefault="0003583D" w:rsidP="0003583D">
      <w:pPr>
        <w:numPr>
          <w:ilvl w:val="0"/>
          <w:numId w:val="12"/>
        </w:numPr>
        <w:jc w:val="left"/>
        <w:rPr>
          <w:sz w:val="20"/>
          <w:szCs w:val="20"/>
          <w:lang w:eastAsia="fr-FR"/>
        </w:rPr>
      </w:pPr>
      <w:r w:rsidRPr="0003583D">
        <w:rPr>
          <w:sz w:val="20"/>
          <w:szCs w:val="20"/>
          <w:lang w:eastAsia="fr-FR"/>
        </w:rPr>
        <w:t>1/3 dans 30 jours ;</w:t>
      </w:r>
    </w:p>
    <w:p w14:paraId="18A9035C" w14:textId="77777777" w:rsidR="0003583D" w:rsidRPr="0003583D" w:rsidRDefault="0003583D" w:rsidP="0003583D">
      <w:pPr>
        <w:numPr>
          <w:ilvl w:val="0"/>
          <w:numId w:val="12"/>
        </w:numPr>
        <w:jc w:val="left"/>
        <w:rPr>
          <w:sz w:val="20"/>
          <w:szCs w:val="20"/>
          <w:lang w:eastAsia="fr-FR"/>
        </w:rPr>
      </w:pPr>
      <w:proofErr w:type="gramStart"/>
      <w:r w:rsidRPr="0003583D">
        <w:rPr>
          <w:sz w:val="20"/>
          <w:szCs w:val="20"/>
          <w:lang w:eastAsia="fr-FR"/>
        </w:rPr>
        <w:t>le</w:t>
      </w:r>
      <w:proofErr w:type="gramEnd"/>
      <w:r w:rsidRPr="0003583D">
        <w:rPr>
          <w:sz w:val="20"/>
          <w:szCs w:val="20"/>
          <w:lang w:eastAsia="fr-FR"/>
        </w:rPr>
        <w:t xml:space="preserve"> solde dans 45 jours.</w:t>
      </w:r>
    </w:p>
    <w:p w14:paraId="26F2A07D" w14:textId="77777777" w:rsidR="0003583D" w:rsidRPr="0003583D" w:rsidRDefault="0003583D" w:rsidP="0003583D">
      <w:pPr>
        <w:spacing w:before="120"/>
        <w:rPr>
          <w:sz w:val="20"/>
          <w:szCs w:val="20"/>
          <w:lang w:eastAsia="fr-FR"/>
        </w:rPr>
      </w:pPr>
      <w:r w:rsidRPr="0003583D">
        <w:rPr>
          <w:sz w:val="20"/>
          <w:szCs w:val="20"/>
          <w:lang w:eastAsia="fr-FR"/>
        </w:rPr>
        <w:t>Il s’agit de la première difficulté de paiement rencontrée par ce client. Son dirigeant en appelle à la solidarité entre partenaires économiques, afin de limiter les répercussions pour l’ensemble de la chaine de production.</w:t>
      </w:r>
    </w:p>
    <w:p w14:paraId="45039A80" w14:textId="77777777" w:rsidR="0003583D" w:rsidRPr="0003583D" w:rsidRDefault="0003583D" w:rsidP="0003583D">
      <w:pPr>
        <w:spacing w:before="120"/>
        <w:rPr>
          <w:sz w:val="20"/>
          <w:szCs w:val="20"/>
          <w:lang w:eastAsia="fr-FR"/>
        </w:rPr>
      </w:pPr>
      <w:r w:rsidRPr="0003583D">
        <w:rPr>
          <w:sz w:val="20"/>
          <w:szCs w:val="20"/>
          <w:lang w:eastAsia="fr-FR"/>
        </w:rPr>
        <w:t>M</w:t>
      </w:r>
      <w:r w:rsidRPr="0003583D">
        <w:rPr>
          <w:sz w:val="20"/>
          <w:szCs w:val="20"/>
          <w:vertAlign w:val="superscript"/>
          <w:lang w:eastAsia="fr-FR"/>
        </w:rPr>
        <w:t>me</w:t>
      </w:r>
      <w:r w:rsidRPr="0003583D">
        <w:rPr>
          <w:sz w:val="20"/>
          <w:szCs w:val="20"/>
          <w:lang w:eastAsia="fr-FR"/>
        </w:rPr>
        <w:t xml:space="preserve"> Gonzales redoute qu’une cessation de paiement de la société Arve’Industrie ne puisse, par effet de dominos, mettre en difficulté sa propre entreprise. En conséquence, elle accepte le principe d’un rééchelonnement de la dette, mais propose un calendrier alternatif, à savoir :</w:t>
      </w:r>
    </w:p>
    <w:p w14:paraId="364AF818" w14:textId="77777777" w:rsidR="0003583D" w:rsidRPr="0003583D" w:rsidRDefault="0003583D" w:rsidP="0003583D">
      <w:pPr>
        <w:numPr>
          <w:ilvl w:val="0"/>
          <w:numId w:val="13"/>
        </w:numPr>
        <w:rPr>
          <w:sz w:val="20"/>
          <w:szCs w:val="20"/>
          <w:lang w:eastAsia="fr-FR"/>
        </w:rPr>
      </w:pPr>
      <w:r w:rsidRPr="0003583D">
        <w:rPr>
          <w:sz w:val="20"/>
          <w:szCs w:val="20"/>
          <w:lang w:eastAsia="fr-FR"/>
        </w:rPr>
        <w:t>50 % du montant dû à 15 jours ;</w:t>
      </w:r>
    </w:p>
    <w:p w14:paraId="751C7127" w14:textId="77777777" w:rsidR="0003583D" w:rsidRPr="0003583D" w:rsidRDefault="0003583D" w:rsidP="0003583D">
      <w:pPr>
        <w:numPr>
          <w:ilvl w:val="0"/>
          <w:numId w:val="13"/>
        </w:numPr>
        <w:rPr>
          <w:sz w:val="20"/>
          <w:szCs w:val="20"/>
          <w:lang w:eastAsia="fr-FR"/>
        </w:rPr>
      </w:pPr>
      <w:r w:rsidRPr="0003583D">
        <w:rPr>
          <w:sz w:val="20"/>
          <w:szCs w:val="20"/>
          <w:lang w:eastAsia="fr-FR"/>
        </w:rPr>
        <w:t>50 % à 45 jours.</w:t>
      </w:r>
    </w:p>
    <w:p w14:paraId="5F2DED76" w14:textId="77777777" w:rsidR="0003583D" w:rsidRPr="0003583D" w:rsidRDefault="0003583D" w:rsidP="0003583D">
      <w:pPr>
        <w:spacing w:before="120"/>
        <w:rPr>
          <w:sz w:val="20"/>
          <w:szCs w:val="20"/>
          <w:lang w:eastAsia="fr-FR"/>
        </w:rPr>
      </w:pPr>
      <w:r w:rsidRPr="0003583D">
        <w:rPr>
          <w:sz w:val="20"/>
          <w:szCs w:val="20"/>
          <w:lang w:eastAsia="fr-FR"/>
        </w:rPr>
        <w:t>Par ailleurs, elle impose des frais forfaitaires de 100 €, qui seront ajoutés au solde dû.</w:t>
      </w:r>
    </w:p>
    <w:p w14:paraId="7FFBB14A" w14:textId="77777777" w:rsidR="0003583D" w:rsidRPr="0003583D" w:rsidRDefault="0003583D" w:rsidP="0003583D">
      <w:pPr>
        <w:rPr>
          <w:sz w:val="20"/>
          <w:szCs w:val="20"/>
          <w:lang w:eastAsia="fr-FR"/>
        </w:rPr>
      </w:pPr>
    </w:p>
    <w:p w14:paraId="75CD5386" w14:textId="77777777" w:rsidR="0003583D" w:rsidRPr="00AF5190" w:rsidRDefault="0003583D" w:rsidP="0003583D">
      <w:pPr>
        <w:rPr>
          <w:b/>
          <w:bCs/>
          <w:sz w:val="24"/>
          <w:szCs w:val="28"/>
          <w:lang w:eastAsia="fr-FR"/>
        </w:rPr>
      </w:pPr>
      <w:r w:rsidRPr="00AF5190">
        <w:rPr>
          <w:b/>
          <w:bCs/>
          <w:sz w:val="24"/>
          <w:szCs w:val="28"/>
          <w:lang w:eastAsia="fr-FR"/>
        </w:rPr>
        <w:t xml:space="preserve">Travail </w:t>
      </w:r>
      <w:r w:rsidRPr="00D873BA">
        <w:rPr>
          <w:b/>
          <w:bCs/>
          <w:sz w:val="24"/>
          <w:szCs w:val="28"/>
          <w:lang w:eastAsia="fr-FR"/>
        </w:rPr>
        <w:t>à faire</w:t>
      </w:r>
    </w:p>
    <w:p w14:paraId="610A2E65" w14:textId="77777777" w:rsidR="0003583D" w:rsidRPr="0003583D" w:rsidRDefault="0003583D" w:rsidP="0003583D">
      <w:pPr>
        <w:spacing w:before="120"/>
        <w:rPr>
          <w:sz w:val="20"/>
          <w:szCs w:val="20"/>
          <w:lang w:eastAsia="fr-FR"/>
        </w:rPr>
      </w:pPr>
      <w:r w:rsidRPr="0003583D">
        <w:rPr>
          <w:sz w:val="20"/>
          <w:szCs w:val="20"/>
          <w:lang w:eastAsia="fr-FR"/>
        </w:rPr>
        <w:t>Vous êtes assistant(e) de gestion au sein de la société Catadom. Rédigez le courrier professionnel que la société Catadom adressera à son client en réponse à la demande de rééchelonnement.</w:t>
      </w:r>
    </w:p>
    <w:p w14:paraId="3B7E9CCF" w14:textId="77777777" w:rsidR="007F14E6" w:rsidRPr="0003583D" w:rsidRDefault="007F14E6" w:rsidP="0003583D"/>
    <w:sectPr w:rsidR="007F14E6" w:rsidRPr="0003583D" w:rsidSect="005E02F4">
      <w:pgSz w:w="11906" w:h="16838"/>
      <w:pgMar w:top="851" w:right="737"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9159D"/>
    <w:multiLevelType w:val="hybridMultilevel"/>
    <w:tmpl w:val="DBE696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C681419"/>
    <w:multiLevelType w:val="hybridMultilevel"/>
    <w:tmpl w:val="5B040F1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C7D3CE4"/>
    <w:multiLevelType w:val="multilevel"/>
    <w:tmpl w:val="8DAC9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AA6CCA"/>
    <w:multiLevelType w:val="multilevel"/>
    <w:tmpl w:val="BA04D61A"/>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1080"/>
        </w:tabs>
        <w:ind w:left="1080" w:hanging="360"/>
      </w:pPr>
      <w:rPr>
        <w:rFonts w:ascii="Symbol" w:hAnsi="Symbol" w:hint="default"/>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 w15:restartNumberingAfterBreak="0">
    <w:nsid w:val="22F723DA"/>
    <w:multiLevelType w:val="hybridMultilevel"/>
    <w:tmpl w:val="5992CDEA"/>
    <w:lvl w:ilvl="0" w:tplc="28104F2A">
      <w:start w:val="1"/>
      <w:numFmt w:val="decimal"/>
      <w:lvlText w:val="%1."/>
      <w:lvlJc w:val="left"/>
      <w:pPr>
        <w:ind w:left="36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25B13176"/>
    <w:multiLevelType w:val="multilevel"/>
    <w:tmpl w:val="BA04D61A"/>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1080"/>
        </w:tabs>
        <w:ind w:left="1080" w:hanging="360"/>
      </w:pPr>
      <w:rPr>
        <w:rFonts w:ascii="Symbol" w:hAnsi="Symbol" w:hint="default"/>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 w15:restartNumberingAfterBreak="0">
    <w:nsid w:val="30C41721"/>
    <w:multiLevelType w:val="hybridMultilevel"/>
    <w:tmpl w:val="0BF07B7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3363847"/>
    <w:multiLevelType w:val="multilevel"/>
    <w:tmpl w:val="954E4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0617159"/>
    <w:multiLevelType w:val="multilevel"/>
    <w:tmpl w:val="7D22261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9" w15:restartNumberingAfterBreak="0">
    <w:nsid w:val="5304103E"/>
    <w:multiLevelType w:val="multilevel"/>
    <w:tmpl w:val="30106502"/>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hint="default"/>
      </w:rPr>
    </w:lvl>
    <w:lvl w:ilvl="2">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0" w15:restartNumberingAfterBreak="0">
    <w:nsid w:val="5C8A6AAF"/>
    <w:multiLevelType w:val="hybridMultilevel"/>
    <w:tmpl w:val="EF5C3D72"/>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1" w15:restartNumberingAfterBreak="0">
    <w:nsid w:val="5CD77301"/>
    <w:multiLevelType w:val="multilevel"/>
    <w:tmpl w:val="BA04D61A"/>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1080"/>
        </w:tabs>
        <w:ind w:left="1080" w:hanging="360"/>
      </w:pPr>
      <w:rPr>
        <w:rFonts w:ascii="Symbol" w:hAnsi="Symbol" w:hint="default"/>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2" w15:restartNumberingAfterBreak="0">
    <w:nsid w:val="607415E3"/>
    <w:multiLevelType w:val="multilevel"/>
    <w:tmpl w:val="C4EAD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36161747">
    <w:abstractNumId w:val="10"/>
  </w:num>
  <w:num w:numId="2" w16cid:durableId="1440906417">
    <w:abstractNumId w:val="9"/>
  </w:num>
  <w:num w:numId="3" w16cid:durableId="1657608081">
    <w:abstractNumId w:val="1"/>
  </w:num>
  <w:num w:numId="4" w16cid:durableId="527452210">
    <w:abstractNumId w:val="0"/>
  </w:num>
  <w:num w:numId="5" w16cid:durableId="1487436015">
    <w:abstractNumId w:val="6"/>
  </w:num>
  <w:num w:numId="6" w16cid:durableId="1473139136">
    <w:abstractNumId w:val="8"/>
  </w:num>
  <w:num w:numId="7" w16cid:durableId="1583030004">
    <w:abstractNumId w:val="3"/>
  </w:num>
  <w:num w:numId="8" w16cid:durableId="341662906">
    <w:abstractNumId w:val="5"/>
  </w:num>
  <w:num w:numId="9" w16cid:durableId="254482418">
    <w:abstractNumId w:val="11"/>
  </w:num>
  <w:num w:numId="10" w16cid:durableId="1695108007">
    <w:abstractNumId w:val="4"/>
  </w:num>
  <w:num w:numId="11" w16cid:durableId="1827622890">
    <w:abstractNumId w:val="12"/>
  </w:num>
  <w:num w:numId="12" w16cid:durableId="188691271">
    <w:abstractNumId w:val="2"/>
  </w:num>
  <w:num w:numId="13" w16cid:durableId="164018227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58EF"/>
    <w:rsid w:val="0003583D"/>
    <w:rsid w:val="00092E9E"/>
    <w:rsid w:val="00222834"/>
    <w:rsid w:val="003E6C31"/>
    <w:rsid w:val="00441ABF"/>
    <w:rsid w:val="005E02F4"/>
    <w:rsid w:val="00617B08"/>
    <w:rsid w:val="006F1AA7"/>
    <w:rsid w:val="007F14E6"/>
    <w:rsid w:val="0091237E"/>
    <w:rsid w:val="009D0A31"/>
    <w:rsid w:val="00A01A44"/>
    <w:rsid w:val="00A418F7"/>
    <w:rsid w:val="00A653A7"/>
    <w:rsid w:val="00BA0C2C"/>
    <w:rsid w:val="00BC58EF"/>
    <w:rsid w:val="00C20149"/>
    <w:rsid w:val="00D11E7F"/>
    <w:rsid w:val="00D76EF9"/>
    <w:rsid w:val="00D9358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45207"/>
  <w15:chartTrackingRefBased/>
  <w15:docId w15:val="{B24D17B8-B2C5-4DB3-9FF9-438B433A8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58EF"/>
    <w:pPr>
      <w:spacing w:after="0" w:line="240" w:lineRule="auto"/>
      <w:jc w:val="both"/>
    </w:pPr>
    <w:rPr>
      <w:rFonts w:ascii="Arial" w:eastAsia="Calibri" w:hAnsi="Arial" w:cs="Times New Roman"/>
    </w:rPr>
  </w:style>
  <w:style w:type="paragraph" w:styleId="Titre2">
    <w:name w:val="heading 2"/>
    <w:basedOn w:val="Normal"/>
    <w:link w:val="Titre2Car"/>
    <w:uiPriority w:val="9"/>
    <w:qFormat/>
    <w:rsid w:val="00BC58EF"/>
    <w:pPr>
      <w:spacing w:after="120"/>
      <w:outlineLvl w:val="1"/>
    </w:pPr>
    <w:rPr>
      <w:rFonts w:eastAsia="Times New Roman" w:cs="Arial"/>
      <w:b/>
      <w:color w:val="000000"/>
      <w:sz w:val="28"/>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BC58EF"/>
    <w:rPr>
      <w:rFonts w:ascii="Arial" w:eastAsia="Times New Roman" w:hAnsi="Arial" w:cs="Arial"/>
      <w:b/>
      <w:color w:val="000000"/>
      <w:sz w:val="28"/>
      <w:szCs w:val="20"/>
      <w:lang w:eastAsia="fr-FR"/>
    </w:rPr>
  </w:style>
  <w:style w:type="paragraph" w:styleId="NormalWeb">
    <w:name w:val="Normal (Web)"/>
    <w:basedOn w:val="Normal"/>
    <w:uiPriority w:val="99"/>
    <w:rsid w:val="00BC58EF"/>
    <w:pPr>
      <w:spacing w:before="100" w:beforeAutospacing="1" w:after="100" w:afterAutospacing="1"/>
    </w:pPr>
    <w:rPr>
      <w:rFonts w:ascii="Times New Roman" w:eastAsia="Times New Roman" w:hAnsi="Times New Roman"/>
      <w:sz w:val="24"/>
      <w:szCs w:val="24"/>
      <w:lang w:eastAsia="fr-FR"/>
    </w:rPr>
  </w:style>
  <w:style w:type="table" w:styleId="Grilledutableau">
    <w:name w:val="Table Grid"/>
    <w:basedOn w:val="TableauNormal"/>
    <w:uiPriority w:val="59"/>
    <w:rsid w:val="00BC58EF"/>
    <w:pPr>
      <w:spacing w:after="0" w:line="240" w:lineRule="auto"/>
    </w:pPr>
    <w:rPr>
      <w:rFonts w:ascii="Calibri" w:eastAsia="Calibri" w:hAnsi="Calibri"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ev">
    <w:name w:val="Strong"/>
    <w:aliases w:val="a texte"/>
    <w:uiPriority w:val="22"/>
    <w:qFormat/>
    <w:rsid w:val="00BC58EF"/>
    <w:rPr>
      <w:b/>
      <w:bCs/>
    </w:rPr>
  </w:style>
  <w:style w:type="paragraph" w:styleId="Paragraphedeliste">
    <w:name w:val="List Paragraph"/>
    <w:basedOn w:val="Normal"/>
    <w:uiPriority w:val="34"/>
    <w:qFormat/>
    <w:rsid w:val="00BC58EF"/>
    <w:pPr>
      <w:ind w:left="720"/>
      <w:contextualSpacing/>
    </w:pPr>
  </w:style>
  <w:style w:type="character" w:customStyle="1" w:styleId="orange-contenu1">
    <w:name w:val="orange-contenu1"/>
    <w:basedOn w:val="Policepardfaut"/>
    <w:rsid w:val="00BC58EF"/>
    <w:rPr>
      <w:b/>
      <w:bCs/>
      <w:color w:val="CF8D29"/>
    </w:rPr>
  </w:style>
  <w:style w:type="character" w:styleId="Lienhypertexte">
    <w:name w:val="Hyperlink"/>
    <w:uiPriority w:val="99"/>
    <w:unhideWhenUsed/>
    <w:rsid w:val="0003583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sv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mailto:info@catadom.com" TargetMode="Externa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575</Words>
  <Characters>2716</Characters>
  <Application>Microsoft Office Word</Application>
  <DocSecurity>0</DocSecurity>
  <Lines>150</Lines>
  <Paragraphs>71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Claude Terrier</dc:creator>
  <cp:keywords/>
  <dc:description/>
  <cp:lastModifiedBy>Claude Terrier</cp:lastModifiedBy>
  <cp:revision>15</cp:revision>
  <dcterms:created xsi:type="dcterms:W3CDTF">2015-11-02T13:19:00Z</dcterms:created>
  <dcterms:modified xsi:type="dcterms:W3CDTF">2026-02-08T14:15:00Z</dcterms:modified>
</cp:coreProperties>
</file>