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696"/>
        <w:gridCol w:w="6946"/>
        <w:gridCol w:w="1276"/>
      </w:tblGrid>
      <w:tr w:rsidR="00D7477A" w:rsidRPr="00C22356" w14:paraId="0B78C905" w14:textId="77777777" w:rsidTr="00C37C48">
        <w:trPr>
          <w:trHeight w:val="386"/>
        </w:trPr>
        <w:tc>
          <w:tcPr>
            <w:tcW w:w="9918" w:type="dxa"/>
            <w:gridSpan w:val="3"/>
            <w:shd w:val="clear" w:color="auto" w:fill="FFFF00"/>
          </w:tcPr>
          <w:p w14:paraId="1DDB91E5" w14:textId="77777777" w:rsidR="00D7477A" w:rsidRPr="00805201" w:rsidRDefault="00D7477A" w:rsidP="00007733">
            <w:pPr>
              <w:pStyle w:val="Titre2"/>
              <w:spacing w:before="120"/>
              <w:jc w:val="center"/>
            </w:pPr>
            <w:r>
              <w:t>Réflexion 3 - Différentier paramétrer et utiliser un PGI</w:t>
            </w:r>
          </w:p>
        </w:tc>
      </w:tr>
      <w:tr w:rsidR="00D7477A" w:rsidRPr="00B92D92" w14:paraId="4159C8A4" w14:textId="77777777" w:rsidTr="00C37C48">
        <w:trPr>
          <w:trHeight w:val="267"/>
        </w:trPr>
        <w:tc>
          <w:tcPr>
            <w:tcW w:w="1696" w:type="dxa"/>
            <w:shd w:val="clear" w:color="auto" w:fill="FFFF00"/>
            <w:vAlign w:val="center"/>
          </w:tcPr>
          <w:p w14:paraId="33C4827C" w14:textId="77777777" w:rsidR="00D7477A" w:rsidRPr="00B92D92" w:rsidRDefault="00D7477A" w:rsidP="00C37C48">
            <w:pPr>
              <w:rPr>
                <w:bCs/>
              </w:rPr>
            </w:pPr>
            <w:r w:rsidRPr="00B92D92">
              <w:rPr>
                <w:bCs/>
              </w:rPr>
              <w:t>Durée : 15</w:t>
            </w:r>
            <w:r>
              <w:rPr>
                <w:bCs/>
              </w:rPr>
              <w:t>’</w:t>
            </w:r>
          </w:p>
        </w:tc>
        <w:tc>
          <w:tcPr>
            <w:tcW w:w="6946" w:type="dxa"/>
            <w:shd w:val="clear" w:color="auto" w:fill="FFFF00"/>
            <w:vAlign w:val="center"/>
          </w:tcPr>
          <w:p w14:paraId="14CE9555" w14:textId="44568D6D" w:rsidR="00D7477A" w:rsidRPr="00B92D92" w:rsidRDefault="00DF7AB2" w:rsidP="00C37C48">
            <w:pPr>
              <w:jc w:val="center"/>
              <w:rPr>
                <w:bCs/>
              </w:rPr>
            </w:pPr>
            <w:r>
              <w:rPr>
                <w:bCs/>
                <w:noProof/>
              </w:rPr>
              <w:drawing>
                <wp:inline distT="0" distB="0" distL="0" distR="0" wp14:anchorId="477C61FE" wp14:editId="09C82D7C">
                  <wp:extent cx="324000" cy="324000"/>
                  <wp:effectExtent l="0" t="0" r="0" b="0"/>
                  <wp:docPr id="63" name="Graphique 6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que 63"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rPr>
              <w:t xml:space="preserve">ou </w:t>
            </w:r>
            <w:r>
              <w:rPr>
                <w:bCs/>
                <w:noProof/>
              </w:rPr>
              <w:drawing>
                <wp:inline distT="0" distB="0" distL="0" distR="0" wp14:anchorId="5F85AA36" wp14:editId="25DFD45A">
                  <wp:extent cx="360000" cy="360000"/>
                  <wp:effectExtent l="0" t="0" r="0" b="2540"/>
                  <wp:docPr id="66" name="Graphique 6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que 6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54439FE4" w14:textId="31423EC4" w:rsidR="00D7477A" w:rsidRPr="00B92D92" w:rsidRDefault="00D7477A" w:rsidP="00C37C48">
            <w:pPr>
              <w:jc w:val="center"/>
              <w:rPr>
                <w:bCs/>
                <w:i/>
              </w:rPr>
            </w:pPr>
            <w:r w:rsidRPr="00B92D92">
              <w:rPr>
                <w:bCs/>
              </w:rPr>
              <w:t>Source</w:t>
            </w:r>
          </w:p>
        </w:tc>
      </w:tr>
    </w:tbl>
    <w:p w14:paraId="4F87F9FC" w14:textId="77777777" w:rsidR="00DF7AB2" w:rsidRPr="00D7477A" w:rsidRDefault="00DF7AB2" w:rsidP="00DF7AB2">
      <w:pPr>
        <w:spacing w:before="120"/>
        <w:rPr>
          <w:rFonts w:cs="Arial"/>
          <w:b/>
          <w:sz w:val="24"/>
          <w:szCs w:val="24"/>
        </w:rPr>
      </w:pPr>
      <w:r w:rsidRPr="00D7477A">
        <w:rPr>
          <w:rFonts w:cs="Arial"/>
          <w:b/>
          <w:sz w:val="24"/>
          <w:szCs w:val="24"/>
        </w:rPr>
        <w:t>Travail à faire</w:t>
      </w:r>
    </w:p>
    <w:p w14:paraId="2E8E08B9" w14:textId="348D6D63" w:rsidR="00DF7AB2" w:rsidRPr="00DF7AB2" w:rsidRDefault="00DF7AB2" w:rsidP="00DF7AB2">
      <w:pPr>
        <w:spacing w:before="120" w:after="120"/>
        <w:rPr>
          <w:rFonts w:cs="Arial"/>
          <w:bCs/>
          <w:sz w:val="20"/>
          <w:szCs w:val="20"/>
        </w:rPr>
      </w:pPr>
      <w:r w:rsidRPr="00DF7AB2">
        <w:rPr>
          <w:rFonts w:cs="Arial"/>
          <w:bCs/>
          <w:sz w:val="20"/>
          <w:szCs w:val="20"/>
        </w:rPr>
        <w:t xml:space="preserve">Après avoir lu le </w:t>
      </w:r>
      <w:r w:rsidRPr="00DF7AB2">
        <w:rPr>
          <w:rFonts w:cs="Arial"/>
          <w:b/>
          <w:sz w:val="20"/>
          <w:szCs w:val="20"/>
        </w:rPr>
        <w:t>document</w:t>
      </w:r>
      <w:r w:rsidRPr="00DF7AB2">
        <w:rPr>
          <w:rFonts w:cs="Arial"/>
          <w:bCs/>
          <w:sz w:val="20"/>
          <w:szCs w:val="20"/>
        </w:rPr>
        <w:t>, répondez aux questions suivantes :</w:t>
      </w:r>
    </w:p>
    <w:p w14:paraId="5C55B7B5" w14:textId="77777777" w:rsidR="00DF7AB2" w:rsidRPr="00DF7AB2" w:rsidRDefault="00DF7AB2" w:rsidP="00DF7AB2">
      <w:pPr>
        <w:pStyle w:val="Paragraphedeliste"/>
        <w:numPr>
          <w:ilvl w:val="0"/>
          <w:numId w:val="2"/>
        </w:numPr>
        <w:jc w:val="left"/>
        <w:rPr>
          <w:bCs/>
          <w:sz w:val="20"/>
          <w:szCs w:val="16"/>
        </w:rPr>
      </w:pPr>
      <w:r w:rsidRPr="00DF7AB2">
        <w:rPr>
          <w:bCs/>
          <w:sz w:val="20"/>
          <w:szCs w:val="16"/>
        </w:rPr>
        <w:t>Quelles sont les tâches préalables à l’installation d’un PGI ?</w:t>
      </w:r>
    </w:p>
    <w:p w14:paraId="7325F7B9" w14:textId="77777777" w:rsidR="00DF7AB2" w:rsidRPr="00DF7AB2" w:rsidRDefault="00DF7AB2" w:rsidP="00DF7AB2">
      <w:pPr>
        <w:pStyle w:val="Paragraphedeliste"/>
        <w:numPr>
          <w:ilvl w:val="0"/>
          <w:numId w:val="2"/>
        </w:numPr>
        <w:jc w:val="left"/>
        <w:rPr>
          <w:bCs/>
          <w:sz w:val="20"/>
          <w:szCs w:val="16"/>
        </w:rPr>
      </w:pPr>
      <w:r w:rsidRPr="00DF7AB2">
        <w:rPr>
          <w:bCs/>
          <w:sz w:val="20"/>
          <w:szCs w:val="16"/>
        </w:rPr>
        <w:t>Pourquoi l’installation d’un PGI est longue ?</w:t>
      </w:r>
    </w:p>
    <w:p w14:paraId="2F8310C4" w14:textId="77777777" w:rsidR="00DF7AB2" w:rsidRPr="00DF7AB2" w:rsidRDefault="00DF7AB2" w:rsidP="00DF7AB2">
      <w:pPr>
        <w:pStyle w:val="Paragraphedeliste"/>
        <w:numPr>
          <w:ilvl w:val="0"/>
          <w:numId w:val="2"/>
        </w:numPr>
        <w:jc w:val="left"/>
        <w:rPr>
          <w:bCs/>
          <w:sz w:val="20"/>
          <w:szCs w:val="16"/>
        </w:rPr>
      </w:pPr>
      <w:r w:rsidRPr="00DF7AB2">
        <w:rPr>
          <w:bCs/>
          <w:sz w:val="20"/>
          <w:szCs w:val="16"/>
        </w:rPr>
        <w:t>Quelles sont les phases d’installation et d’utilisation d’un PGI ?</w:t>
      </w:r>
    </w:p>
    <w:p w14:paraId="13C8EBAE" w14:textId="77777777" w:rsidR="00D7477A" w:rsidRDefault="00D7477A" w:rsidP="00D7477A">
      <w:pPr>
        <w:spacing w:after="120"/>
      </w:pPr>
    </w:p>
    <w:p w14:paraId="1E062C35" w14:textId="1BB45F4B" w:rsidR="00D7477A" w:rsidRPr="00B92D92" w:rsidRDefault="00D7477A" w:rsidP="00D7477A">
      <w:pPr>
        <w:spacing w:after="120"/>
      </w:pPr>
      <w:r w:rsidRPr="00B92D92">
        <w:rPr>
          <w:b/>
          <w:color w:val="FFFFFF" w:themeColor="background1"/>
          <w:sz w:val="24"/>
          <w:szCs w:val="24"/>
          <w:highlight w:val="red"/>
        </w:rPr>
        <w:t xml:space="preserve">Doc. </w:t>
      </w:r>
      <w:r w:rsidRPr="00B92D92">
        <w:rPr>
          <w:b/>
          <w:color w:val="FFFFFF" w:themeColor="background1"/>
          <w:sz w:val="24"/>
          <w:szCs w:val="24"/>
        </w:rPr>
        <w:t> </w:t>
      </w:r>
      <w:r>
        <w:rPr>
          <w:b/>
          <w:color w:val="FFFFFF" w:themeColor="background1"/>
          <w:sz w:val="24"/>
          <w:szCs w:val="24"/>
        </w:rPr>
        <w:t xml:space="preserve"> </w:t>
      </w:r>
      <w:r w:rsidRPr="00B92D92">
        <w:rPr>
          <w:b/>
          <w:sz w:val="24"/>
          <w:szCs w:val="24"/>
        </w:rPr>
        <w:t>Les étapes de mises en œuvre d’un PGI</w:t>
      </w:r>
    </w:p>
    <w:p w14:paraId="6DDAB75B" w14:textId="77777777" w:rsidR="00D7477A" w:rsidRDefault="00D7477A" w:rsidP="00D7477A">
      <w:pPr>
        <w:spacing w:after="120"/>
      </w:pPr>
      <w:r>
        <w:t>Chaque entreprise est différente et a des procédures de production, logistiques, administratives, comptables, spécifiques en fonction de son activité, de sa production, de ses marchés, de son histoire, de ses besoins, etc.</w:t>
      </w:r>
    </w:p>
    <w:p w14:paraId="7AB9108C" w14:textId="77777777" w:rsidR="00D7477A" w:rsidRDefault="00D7477A" w:rsidP="00D7477A">
      <w:pPr>
        <w:spacing w:after="120"/>
      </w:pPr>
      <w:r>
        <w:t xml:space="preserve">Les PGI fournissent un ensemble de modules et de fonctions qui les rendent polyvalents, mais contrairement aux applications de Bureautique, par exemple, qui sont utilisables dès leur installation, un PGI ne peut pas être installé et utilisé directement tel quel. </w:t>
      </w:r>
    </w:p>
    <w:p w14:paraId="28BCB9AE" w14:textId="77777777" w:rsidR="00D7477A" w:rsidRDefault="00D7477A" w:rsidP="00D7477A">
      <w:pPr>
        <w:spacing w:after="120"/>
      </w:pPr>
      <w:r>
        <w:t>L’entreprise qui l’installe, exige qu’il soit adapté à ses spécificités.</w:t>
      </w:r>
      <w:r w:rsidRPr="00C106C9">
        <w:t xml:space="preserve"> </w:t>
      </w:r>
      <w:r>
        <w:t xml:space="preserve">Ce travail est long et exige beaucoup de rigueur. </w:t>
      </w:r>
    </w:p>
    <w:p w14:paraId="6B2C1490" w14:textId="77777777" w:rsidR="00D7477A" w:rsidRDefault="00D7477A" w:rsidP="00D7477A">
      <w:r>
        <w:t xml:space="preserve">Pour pouvoir les personnaliser un PGI l’entreprise doit au préalable identifier : </w:t>
      </w:r>
    </w:p>
    <w:p w14:paraId="151DB5AD" w14:textId="77777777" w:rsidR="00D7477A" w:rsidRDefault="00D7477A" w:rsidP="00D7477A">
      <w:pPr>
        <w:pStyle w:val="Paragraphedeliste"/>
        <w:numPr>
          <w:ilvl w:val="0"/>
          <w:numId w:val="1"/>
        </w:numPr>
      </w:pPr>
      <w:r>
        <w:t>Toutes ces procédures,</w:t>
      </w:r>
    </w:p>
    <w:p w14:paraId="2FCF6DEA" w14:textId="77777777" w:rsidR="00D7477A" w:rsidRDefault="00D7477A" w:rsidP="00D7477A">
      <w:pPr>
        <w:pStyle w:val="Paragraphedeliste"/>
        <w:numPr>
          <w:ilvl w:val="0"/>
          <w:numId w:val="1"/>
        </w:numPr>
      </w:pPr>
      <w:r>
        <w:t>La chronologie des tâches liées à chaque procédure,</w:t>
      </w:r>
    </w:p>
    <w:p w14:paraId="43B86919" w14:textId="77777777" w:rsidR="00D7477A" w:rsidRDefault="00D7477A" w:rsidP="00D7477A">
      <w:pPr>
        <w:pStyle w:val="Paragraphedeliste"/>
        <w:numPr>
          <w:ilvl w:val="0"/>
          <w:numId w:val="1"/>
        </w:numPr>
      </w:pPr>
      <w:r>
        <w:t>Les spécificités de chaque procédure (besoins, contraintes, contrôles…),</w:t>
      </w:r>
    </w:p>
    <w:p w14:paraId="0EC09C4A" w14:textId="77777777" w:rsidR="00D7477A" w:rsidRDefault="00D7477A" w:rsidP="00DF7AB2">
      <w:pPr>
        <w:spacing w:before="120" w:after="120"/>
      </w:pPr>
      <w:r>
        <w:t>Ce</w:t>
      </w:r>
      <w:r w:rsidRPr="00780A0E">
        <w:t xml:space="preserve"> travail implique de nombreuses réunions et une concertation avec tous les utilisateurs pour qu’ils expliquent ce qu’ils font et leurs besoins</w:t>
      </w:r>
      <w:r>
        <w:t xml:space="preserve">. </w:t>
      </w:r>
    </w:p>
    <w:p w14:paraId="0E387E74" w14:textId="77777777" w:rsidR="00D7477A" w:rsidRDefault="00D7477A" w:rsidP="00D7477A">
      <w:r>
        <w:t>Lorsque ce travail est terminé, alors et seulement alors, l’entreprise peut passer à l’installation, au paramétrage, puis enfin, à l’utilisation de l’application.</w:t>
      </w:r>
    </w:p>
    <w:p w14:paraId="4FE4134D" w14:textId="77777777" w:rsidR="00D7477A" w:rsidRPr="00766F79" w:rsidRDefault="00D7477A" w:rsidP="00DF7AB2">
      <w:pPr>
        <w:spacing w:before="120"/>
      </w:pPr>
      <w:r w:rsidRPr="00766F79">
        <w:t xml:space="preserve">Ce travail est réalisé en plusieurs </w:t>
      </w:r>
      <w:r>
        <w:t>étapes et contribue</w:t>
      </w:r>
      <w:r w:rsidRPr="00766F79">
        <w:t xml:space="preserve"> à la complexité des PGI.</w:t>
      </w:r>
    </w:p>
    <w:p w14:paraId="7BC5414B" w14:textId="77777777" w:rsidR="00D7477A" w:rsidRDefault="00D7477A" w:rsidP="00D7477A">
      <w:pPr>
        <w:spacing w:before="120"/>
      </w:pPr>
      <w:r w:rsidRPr="00766F79">
        <w:rPr>
          <w:b/>
        </w:rPr>
        <w:t>Phase 1 - Paramétrage de l’application</w:t>
      </w:r>
      <w:r>
        <w:t> : Cette phase consiste à installer et à paramétrer l’application et les fonctions à mettre en œuvre dans l’application : TVA intracommunautaire, journaux, comptes, documents commerciaux, numérotation des documents, fiche de stock.</w:t>
      </w:r>
    </w:p>
    <w:p w14:paraId="5966CFA8" w14:textId="77777777" w:rsidR="00D7477A" w:rsidRPr="006337E6" w:rsidRDefault="00D7477A" w:rsidP="00D7477A">
      <w:pPr>
        <w:spacing w:before="120"/>
      </w:pPr>
      <w:r w:rsidRPr="00766F79">
        <w:rPr>
          <w:b/>
        </w:rPr>
        <w:t>Phase 2 - Saisie des bases</w:t>
      </w:r>
      <w:r>
        <w:t> : Cette phase consiste  à paramétrer et à saisir les informations qui vont alimenter les bases de données utiliser dans le cadre de la gestion courante : Mode règlement, secteur commerciaux, commerciaux, c</w:t>
      </w:r>
      <w:r w:rsidRPr="0028332D">
        <w:t>lients, fournisseurs, articles et familles d’articles, stocks</w:t>
      </w:r>
    </w:p>
    <w:p w14:paraId="58395225" w14:textId="77777777" w:rsidR="00D7477A" w:rsidRDefault="00D7477A" w:rsidP="00D7477A">
      <w:pPr>
        <w:spacing w:before="120"/>
      </w:pPr>
      <w:r w:rsidRPr="00766F79">
        <w:rPr>
          <w:b/>
        </w:rPr>
        <w:t>Phase 3 - Utilisation courante</w:t>
      </w:r>
      <w:r>
        <w:t> : Cette phase consiste à mettre en oeuvre les fonctions traditionnelles liées à la chaine commerciale : gestion des devis, des commandes, livraisons et factures. Suivie des règlements, des stocks, des retours et des avoirs.</w:t>
      </w:r>
    </w:p>
    <w:p w14:paraId="2A1147C9" w14:textId="77777777" w:rsidR="00D7477A" w:rsidRDefault="00D7477A" w:rsidP="00DF7AB2">
      <w:pPr>
        <w:spacing w:before="120" w:after="120"/>
      </w:pPr>
      <w:r w:rsidRPr="00766F79">
        <w:rPr>
          <w:b/>
        </w:rPr>
        <w:t>Phase 4 - Statistique et exportation</w:t>
      </w:r>
      <w:r>
        <w:t xml:space="preserve"> : Consiste à éditer des statistiques à l’aide de l’application pour analyser l’activité commerciale et pouvoir rétroagir en prenant des décisions adaptées au contexte. </w:t>
      </w:r>
    </w:p>
    <w:p w14:paraId="2445DA50" w14:textId="77777777" w:rsidR="00D7477A" w:rsidRDefault="00D7477A" w:rsidP="00D7477A">
      <w:pPr>
        <w:jc w:val="center"/>
        <w:rPr>
          <w:b/>
        </w:rPr>
      </w:pPr>
      <w:r>
        <w:rPr>
          <w:noProof/>
          <w:lang w:eastAsia="fr-FR"/>
        </w:rPr>
        <w:drawing>
          <wp:inline distT="0" distB="0" distL="0" distR="0" wp14:anchorId="406F5A4B" wp14:editId="0BE724B5">
            <wp:extent cx="3331231" cy="1100747"/>
            <wp:effectExtent l="0" t="19050" r="21590" b="61595"/>
            <wp:docPr id="41"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EF6535" w14:textId="4AF0667E" w:rsidR="00D7477A" w:rsidRPr="00D7477A" w:rsidRDefault="00DF7AB2" w:rsidP="00DF7AB2">
      <w:pPr>
        <w:rPr>
          <w:rFonts w:cs="Arial"/>
          <w:b/>
          <w:sz w:val="24"/>
          <w:szCs w:val="24"/>
        </w:rPr>
      </w:pPr>
      <w:r>
        <w:rPr>
          <w:rFonts w:cs="Arial"/>
          <w:b/>
          <w:sz w:val="24"/>
          <w:szCs w:val="24"/>
        </w:rPr>
        <w:lastRenderedPageBreak/>
        <w:t>Réponses</w:t>
      </w:r>
    </w:p>
    <w:p w14:paraId="4B9C9922" w14:textId="77777777" w:rsidR="0034343C" w:rsidRDefault="0034343C" w:rsidP="00DF7AB2">
      <w:pPr>
        <w:jc w:val="left"/>
        <w:rPr>
          <w:b/>
        </w:rPr>
      </w:pPr>
    </w:p>
    <w:p w14:paraId="3E98FB83" w14:textId="3CAF82B5" w:rsidR="004E59C5" w:rsidRDefault="004E59C5" w:rsidP="00DF7AB2">
      <w:pPr>
        <w:pStyle w:val="Paragraphedeliste"/>
        <w:numPr>
          <w:ilvl w:val="0"/>
          <w:numId w:val="3"/>
        </w:numPr>
        <w:jc w:val="left"/>
        <w:rPr>
          <w:b/>
          <w:sz w:val="28"/>
        </w:rPr>
      </w:pPr>
      <w:r w:rsidRPr="00DF7AB2">
        <w:rPr>
          <w:b/>
          <w:sz w:val="28"/>
        </w:rPr>
        <w:t>Quelles sont les tâches préalables à l’installation d’un PGI ?</w:t>
      </w:r>
    </w:p>
    <w:p w14:paraId="34363C36" w14:textId="0753E3DB" w:rsidR="00DF7AB2" w:rsidRDefault="00DF7AB2" w:rsidP="00DF7AB2">
      <w:pPr>
        <w:jc w:val="left"/>
        <w:rPr>
          <w:b/>
          <w:sz w:val="28"/>
        </w:rPr>
      </w:pPr>
    </w:p>
    <w:p w14:paraId="3858FF08" w14:textId="493CB1C5" w:rsidR="00DF7AB2" w:rsidRDefault="00DF7AB2" w:rsidP="00DF7AB2">
      <w:pPr>
        <w:jc w:val="left"/>
        <w:rPr>
          <w:b/>
          <w:sz w:val="28"/>
        </w:rPr>
      </w:pPr>
    </w:p>
    <w:p w14:paraId="387CA091" w14:textId="77777777" w:rsidR="00DF7AB2" w:rsidRPr="00DF7AB2" w:rsidRDefault="00DF7AB2" w:rsidP="00DF7AB2">
      <w:pPr>
        <w:jc w:val="left"/>
        <w:rPr>
          <w:b/>
          <w:sz w:val="28"/>
        </w:rPr>
      </w:pPr>
    </w:p>
    <w:p w14:paraId="26109EB1" w14:textId="2028B7E4" w:rsidR="004E59C5" w:rsidRDefault="004E59C5" w:rsidP="00DF7AB2">
      <w:pPr>
        <w:pStyle w:val="Paragraphedeliste"/>
        <w:numPr>
          <w:ilvl w:val="0"/>
          <w:numId w:val="3"/>
        </w:numPr>
        <w:jc w:val="left"/>
        <w:rPr>
          <w:b/>
          <w:sz w:val="28"/>
        </w:rPr>
      </w:pPr>
      <w:r w:rsidRPr="00DF7AB2">
        <w:rPr>
          <w:b/>
          <w:sz w:val="28"/>
        </w:rPr>
        <w:t>Pourquoi l’installation d’un PGI est longue ?</w:t>
      </w:r>
    </w:p>
    <w:p w14:paraId="552357CE" w14:textId="24BD1DED" w:rsidR="00DF7AB2" w:rsidRDefault="00DF7AB2" w:rsidP="00DF7AB2">
      <w:pPr>
        <w:jc w:val="left"/>
        <w:rPr>
          <w:b/>
          <w:sz w:val="28"/>
        </w:rPr>
      </w:pPr>
    </w:p>
    <w:p w14:paraId="0631D02A" w14:textId="400B7E2D" w:rsidR="00DF7AB2" w:rsidRDefault="00DF7AB2" w:rsidP="00DF7AB2">
      <w:pPr>
        <w:jc w:val="left"/>
        <w:rPr>
          <w:b/>
          <w:sz w:val="28"/>
        </w:rPr>
      </w:pPr>
    </w:p>
    <w:p w14:paraId="13F4508E" w14:textId="1EC300A6" w:rsidR="00DF7AB2" w:rsidRDefault="00DF7AB2" w:rsidP="00DF7AB2">
      <w:pPr>
        <w:jc w:val="left"/>
        <w:rPr>
          <w:b/>
          <w:sz w:val="28"/>
        </w:rPr>
      </w:pPr>
    </w:p>
    <w:p w14:paraId="39FCA876" w14:textId="77777777" w:rsidR="00DF7AB2" w:rsidRPr="00DF7AB2" w:rsidRDefault="00DF7AB2" w:rsidP="00DF7AB2">
      <w:pPr>
        <w:jc w:val="left"/>
        <w:rPr>
          <w:b/>
          <w:sz w:val="28"/>
        </w:rPr>
      </w:pPr>
    </w:p>
    <w:p w14:paraId="1684E9D8" w14:textId="77777777" w:rsidR="004E59C5" w:rsidRPr="00DF7AB2" w:rsidRDefault="004E59C5" w:rsidP="00DF7AB2">
      <w:pPr>
        <w:pStyle w:val="Paragraphedeliste"/>
        <w:numPr>
          <w:ilvl w:val="0"/>
          <w:numId w:val="3"/>
        </w:numPr>
        <w:jc w:val="left"/>
        <w:rPr>
          <w:b/>
          <w:sz w:val="28"/>
        </w:rPr>
      </w:pPr>
      <w:r w:rsidRPr="00DF7AB2">
        <w:rPr>
          <w:b/>
          <w:sz w:val="28"/>
        </w:rPr>
        <w:t>Quelles sont les phases d’installation et d’utilisation d’un PGI ?</w:t>
      </w:r>
    </w:p>
    <w:p w14:paraId="040BC197" w14:textId="77777777" w:rsidR="004E59C5" w:rsidRPr="0034343C" w:rsidRDefault="004E59C5" w:rsidP="004E59C5">
      <w:pPr>
        <w:jc w:val="left"/>
        <w:rPr>
          <w:b/>
          <w:sz w:val="28"/>
        </w:rPr>
      </w:pPr>
    </w:p>
    <w:p w14:paraId="520E6139" w14:textId="77777777" w:rsidR="00BF37FA" w:rsidRPr="0034343C" w:rsidRDefault="00BF37FA">
      <w:pPr>
        <w:rPr>
          <w:sz w:val="28"/>
        </w:rPr>
      </w:pPr>
    </w:p>
    <w:sectPr w:rsidR="00BF37FA" w:rsidRPr="0034343C" w:rsidSect="004E59C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0F3D"/>
    <w:multiLevelType w:val="hybridMultilevel"/>
    <w:tmpl w:val="B58C6C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EA73BE8"/>
    <w:multiLevelType w:val="hybridMultilevel"/>
    <w:tmpl w:val="C89A6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6528BD"/>
    <w:multiLevelType w:val="hybridMultilevel"/>
    <w:tmpl w:val="335A5A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233538824">
    <w:abstractNumId w:val="1"/>
  </w:num>
  <w:num w:numId="2" w16cid:durableId="1178811183">
    <w:abstractNumId w:val="2"/>
  </w:num>
  <w:num w:numId="3" w16cid:durableId="201722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C5"/>
    <w:rsid w:val="00007733"/>
    <w:rsid w:val="0034343C"/>
    <w:rsid w:val="004E59C5"/>
    <w:rsid w:val="00944A38"/>
    <w:rsid w:val="00AF1205"/>
    <w:rsid w:val="00BF37FA"/>
    <w:rsid w:val="00D7477A"/>
    <w:rsid w:val="00DF7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53D2"/>
  <w15:chartTrackingRefBased/>
  <w15:docId w15:val="{B4CBDD98-C6DF-406C-A9A3-F22AD5C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C5"/>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D747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qFormat/>
    <w:rsid w:val="004E59C5"/>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59C5"/>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4E59C5"/>
    <w:pPr>
      <w:ind w:left="720"/>
      <w:contextualSpacing/>
    </w:pPr>
  </w:style>
  <w:style w:type="character" w:customStyle="1" w:styleId="Titre1Car">
    <w:name w:val="Titre 1 Car"/>
    <w:basedOn w:val="Policepardfaut"/>
    <w:link w:val="Titre1"/>
    <w:uiPriority w:val="9"/>
    <w:rsid w:val="00D7477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diagramQuickStyle" Target="diagrams/quickStyle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CB3231-C9E9-4856-946B-B930E510AFCD}"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fr-FR"/>
        </a:p>
      </dgm:t>
    </dgm:pt>
    <dgm:pt modelId="{B7181E6C-B41C-4535-B76F-4C99873B2AAE}">
      <dgm:prSet phldrT="[Texte]" custT="1"/>
      <dgm:spPr>
        <a:solidFill>
          <a:srgbClr val="92D050"/>
        </a:solidFill>
      </dgm:spPr>
      <dgm:t>
        <a:bodyPr/>
        <a:lstStyle/>
        <a:p>
          <a:pPr algn="ctr"/>
          <a:r>
            <a:rPr lang="fr-FR" sz="1200" b="1">
              <a:solidFill>
                <a:srgbClr val="FF0000"/>
              </a:solidFill>
              <a:latin typeface="Arial" panose="020B0604020202020204" pitchFamily="34" charset="0"/>
              <a:cs typeface="Arial" panose="020B0604020202020204" pitchFamily="34" charset="0"/>
            </a:rPr>
            <a:t>Paramétrage de l'application</a:t>
          </a:r>
        </a:p>
      </dgm:t>
    </dgm:pt>
    <dgm:pt modelId="{2B36327E-2404-4C86-AC1F-64A1F6329B08}" type="parTrans" cxnId="{F7D2FCEC-6FDC-49D5-806C-16C4F771B03D}">
      <dgm:prSet/>
      <dgm:spPr/>
      <dgm:t>
        <a:bodyPr/>
        <a:lstStyle/>
        <a:p>
          <a:pPr algn="ctr"/>
          <a:endParaRPr lang="fr-FR" sz="1200" b="1">
            <a:solidFill>
              <a:srgbClr val="FF0000"/>
            </a:solidFill>
            <a:latin typeface="Arial" panose="020B0604020202020204" pitchFamily="34" charset="0"/>
            <a:cs typeface="Arial" panose="020B0604020202020204" pitchFamily="34" charset="0"/>
          </a:endParaRPr>
        </a:p>
      </dgm:t>
    </dgm:pt>
    <dgm:pt modelId="{C6D59A22-2FA3-4E0F-A1B8-A8B97A99866A}" type="sibTrans" cxnId="{F7D2FCEC-6FDC-49D5-806C-16C4F771B03D}">
      <dgm:prSet custT="1"/>
      <dgm:spPr/>
      <dgm:t>
        <a:bodyPr/>
        <a:lstStyle/>
        <a:p>
          <a:pPr algn="ctr"/>
          <a:endParaRPr lang="fr-FR" sz="1200" b="1">
            <a:solidFill>
              <a:srgbClr val="FF0000"/>
            </a:solidFill>
            <a:latin typeface="Arial" panose="020B0604020202020204" pitchFamily="34" charset="0"/>
            <a:cs typeface="Arial" panose="020B0604020202020204" pitchFamily="34" charset="0"/>
          </a:endParaRPr>
        </a:p>
      </dgm:t>
    </dgm:pt>
    <dgm:pt modelId="{9DE3836C-61FF-4299-B8D9-E67772858B4A}">
      <dgm:prSet phldrT="[Texte]" custT="1"/>
      <dgm:spPr/>
      <dgm:t>
        <a:bodyPr/>
        <a:lstStyle/>
        <a:p>
          <a:pPr algn="ctr"/>
          <a:r>
            <a:rPr lang="fr-FR" sz="1200" b="1">
              <a:solidFill>
                <a:srgbClr val="FF0000"/>
              </a:solidFill>
              <a:latin typeface="Arial" panose="020B0604020202020204" pitchFamily="34" charset="0"/>
              <a:cs typeface="Arial" panose="020B0604020202020204" pitchFamily="34" charset="0"/>
            </a:rPr>
            <a:t>Saisie des bases </a:t>
          </a:r>
        </a:p>
      </dgm:t>
    </dgm:pt>
    <dgm:pt modelId="{6188E0B1-C1D6-4470-AEC6-D1F8D061BCBE}" type="parTrans" cxnId="{404620BF-042F-4047-B957-677B4593F820}">
      <dgm:prSet/>
      <dgm:spPr/>
      <dgm:t>
        <a:bodyPr/>
        <a:lstStyle/>
        <a:p>
          <a:pPr algn="ctr"/>
          <a:endParaRPr lang="fr-FR" sz="1200" b="1">
            <a:solidFill>
              <a:srgbClr val="FF0000"/>
            </a:solidFill>
            <a:latin typeface="Arial" panose="020B0604020202020204" pitchFamily="34" charset="0"/>
            <a:cs typeface="Arial" panose="020B0604020202020204" pitchFamily="34" charset="0"/>
          </a:endParaRPr>
        </a:p>
      </dgm:t>
    </dgm:pt>
    <dgm:pt modelId="{3E82FE4E-9132-4B10-8085-010B9CA5EA00}" type="sibTrans" cxnId="{404620BF-042F-4047-B957-677B4593F820}">
      <dgm:prSet custT="1"/>
      <dgm:spPr/>
      <dgm:t>
        <a:bodyPr/>
        <a:lstStyle/>
        <a:p>
          <a:pPr algn="ctr"/>
          <a:endParaRPr lang="fr-FR" sz="1200" b="1">
            <a:solidFill>
              <a:srgbClr val="FF0000"/>
            </a:solidFill>
            <a:latin typeface="Arial" panose="020B0604020202020204" pitchFamily="34" charset="0"/>
            <a:cs typeface="Arial" panose="020B0604020202020204" pitchFamily="34" charset="0"/>
          </a:endParaRPr>
        </a:p>
      </dgm:t>
    </dgm:pt>
    <dgm:pt modelId="{F4C4A1F6-87D7-4A59-8194-35BE2F57ABFB}">
      <dgm:prSet phldrT="[Texte]" custT="1"/>
      <dgm:spPr/>
      <dgm:t>
        <a:bodyPr/>
        <a:lstStyle/>
        <a:p>
          <a:pPr algn="ctr"/>
          <a:r>
            <a:rPr lang="fr-FR" sz="1200" b="1">
              <a:solidFill>
                <a:srgbClr val="FF0000"/>
              </a:solidFill>
              <a:latin typeface="Arial" panose="020B0604020202020204" pitchFamily="34" charset="0"/>
              <a:cs typeface="Arial" panose="020B0604020202020204" pitchFamily="34" charset="0"/>
            </a:rPr>
            <a:t>Utilisation courante</a:t>
          </a:r>
        </a:p>
      </dgm:t>
    </dgm:pt>
    <dgm:pt modelId="{07BCD0F8-0852-481C-863A-DB7816FE095E}" type="parTrans" cxnId="{44B7F32E-60BC-429A-9EB5-4BA43645CA57}">
      <dgm:prSet/>
      <dgm:spPr/>
      <dgm:t>
        <a:bodyPr/>
        <a:lstStyle/>
        <a:p>
          <a:pPr algn="ctr"/>
          <a:endParaRPr lang="fr-FR" sz="1200" b="1">
            <a:solidFill>
              <a:srgbClr val="FF0000"/>
            </a:solidFill>
            <a:latin typeface="Arial" panose="020B0604020202020204" pitchFamily="34" charset="0"/>
            <a:cs typeface="Arial" panose="020B0604020202020204" pitchFamily="34" charset="0"/>
          </a:endParaRPr>
        </a:p>
      </dgm:t>
    </dgm:pt>
    <dgm:pt modelId="{9ECF68C7-ACBF-4C9D-B5CC-08AC23A135F9}" type="sibTrans" cxnId="{44B7F32E-60BC-429A-9EB5-4BA43645CA57}">
      <dgm:prSet custT="1"/>
      <dgm:spPr/>
      <dgm:t>
        <a:bodyPr/>
        <a:lstStyle/>
        <a:p>
          <a:pPr algn="ctr"/>
          <a:endParaRPr lang="fr-FR" sz="1200" b="1">
            <a:solidFill>
              <a:srgbClr val="FF0000"/>
            </a:solidFill>
            <a:latin typeface="Arial" panose="020B0604020202020204" pitchFamily="34" charset="0"/>
            <a:cs typeface="Arial" panose="020B0604020202020204" pitchFamily="34" charset="0"/>
          </a:endParaRPr>
        </a:p>
      </dgm:t>
    </dgm:pt>
    <dgm:pt modelId="{3761FF1D-FAD8-475B-8E75-9EFEA138AEE7}">
      <dgm:prSet custT="1"/>
      <dgm:spPr/>
      <dgm:t>
        <a:bodyPr/>
        <a:lstStyle/>
        <a:p>
          <a:pPr algn="ctr"/>
          <a:r>
            <a:rPr lang="fr-FR" sz="1200" b="1">
              <a:solidFill>
                <a:srgbClr val="FF0000"/>
              </a:solidFill>
              <a:latin typeface="Arial" panose="020B0604020202020204" pitchFamily="34" charset="0"/>
              <a:cs typeface="Arial" panose="020B0604020202020204" pitchFamily="34" charset="0"/>
            </a:rPr>
            <a:t>Statistiques</a:t>
          </a:r>
        </a:p>
      </dgm:t>
    </dgm:pt>
    <dgm:pt modelId="{27DAF2F4-4A5E-44FC-B6AD-40A5A8707B37}" type="parTrans" cxnId="{3015F77E-5A55-47D3-AB3D-0020C5A3DFF2}">
      <dgm:prSet/>
      <dgm:spPr/>
      <dgm:t>
        <a:bodyPr/>
        <a:lstStyle/>
        <a:p>
          <a:pPr algn="ctr"/>
          <a:endParaRPr lang="fr-FR" sz="1200" b="1">
            <a:solidFill>
              <a:srgbClr val="FF0000"/>
            </a:solidFill>
            <a:latin typeface="Arial" panose="020B0604020202020204" pitchFamily="34" charset="0"/>
            <a:cs typeface="Arial" panose="020B0604020202020204" pitchFamily="34" charset="0"/>
          </a:endParaRPr>
        </a:p>
      </dgm:t>
    </dgm:pt>
    <dgm:pt modelId="{FCB0AA3C-DEFC-45DB-A7E7-B3291A151882}" type="sibTrans" cxnId="{3015F77E-5A55-47D3-AB3D-0020C5A3DFF2}">
      <dgm:prSet/>
      <dgm:spPr/>
      <dgm:t>
        <a:bodyPr/>
        <a:lstStyle/>
        <a:p>
          <a:pPr algn="ctr"/>
          <a:endParaRPr lang="fr-FR" sz="1200" b="1">
            <a:solidFill>
              <a:srgbClr val="FF0000"/>
            </a:solidFill>
            <a:latin typeface="Arial" panose="020B0604020202020204" pitchFamily="34" charset="0"/>
            <a:cs typeface="Arial" panose="020B0604020202020204" pitchFamily="34" charset="0"/>
          </a:endParaRPr>
        </a:p>
      </dgm:t>
    </dgm:pt>
    <dgm:pt modelId="{A7CD2F23-7D75-46E7-A48D-B089E0A5D165}" type="pres">
      <dgm:prSet presAssocID="{9CCB3231-C9E9-4856-946B-B930E510AFCD}" presName="outerComposite" presStyleCnt="0">
        <dgm:presLayoutVars>
          <dgm:chMax val="5"/>
          <dgm:dir/>
          <dgm:resizeHandles val="exact"/>
        </dgm:presLayoutVars>
      </dgm:prSet>
      <dgm:spPr/>
    </dgm:pt>
    <dgm:pt modelId="{101E8BE3-75AA-4195-8F2A-1021872B3B02}" type="pres">
      <dgm:prSet presAssocID="{9CCB3231-C9E9-4856-946B-B930E510AFCD}" presName="dummyMaxCanvas" presStyleCnt="0">
        <dgm:presLayoutVars/>
      </dgm:prSet>
      <dgm:spPr/>
    </dgm:pt>
    <dgm:pt modelId="{77670704-BA69-49EB-824E-B206A9608BF9}" type="pres">
      <dgm:prSet presAssocID="{9CCB3231-C9E9-4856-946B-B930E510AFCD}" presName="FourNodes_1" presStyleLbl="node1" presStyleIdx="0" presStyleCnt="4" custLinFactNeighborX="-3041">
        <dgm:presLayoutVars>
          <dgm:bulletEnabled val="1"/>
        </dgm:presLayoutVars>
      </dgm:prSet>
      <dgm:spPr/>
    </dgm:pt>
    <dgm:pt modelId="{425D74A9-7A27-4247-9ECC-14C3FA8443CA}" type="pres">
      <dgm:prSet presAssocID="{9CCB3231-C9E9-4856-946B-B930E510AFCD}" presName="FourNodes_2" presStyleLbl="node1" presStyleIdx="1" presStyleCnt="4">
        <dgm:presLayoutVars>
          <dgm:bulletEnabled val="1"/>
        </dgm:presLayoutVars>
      </dgm:prSet>
      <dgm:spPr/>
    </dgm:pt>
    <dgm:pt modelId="{15CF19ED-60DB-441D-89A3-FAE044F68D6F}" type="pres">
      <dgm:prSet presAssocID="{9CCB3231-C9E9-4856-946B-B930E510AFCD}" presName="FourNodes_3" presStyleLbl="node1" presStyleIdx="2" presStyleCnt="4">
        <dgm:presLayoutVars>
          <dgm:bulletEnabled val="1"/>
        </dgm:presLayoutVars>
      </dgm:prSet>
      <dgm:spPr/>
    </dgm:pt>
    <dgm:pt modelId="{8919007B-4F55-4C8F-AD3E-F7CD0B9FEE49}" type="pres">
      <dgm:prSet presAssocID="{9CCB3231-C9E9-4856-946B-B930E510AFCD}" presName="FourNodes_4" presStyleLbl="node1" presStyleIdx="3" presStyleCnt="4" custLinFactNeighborX="0" custLinFactNeighborY="0">
        <dgm:presLayoutVars>
          <dgm:bulletEnabled val="1"/>
        </dgm:presLayoutVars>
      </dgm:prSet>
      <dgm:spPr/>
    </dgm:pt>
    <dgm:pt modelId="{F8304FBF-F1E2-432B-9474-F8E2E85AC885}" type="pres">
      <dgm:prSet presAssocID="{9CCB3231-C9E9-4856-946B-B930E510AFCD}" presName="FourConn_1-2" presStyleLbl="fgAccFollowNode1" presStyleIdx="0" presStyleCnt="3">
        <dgm:presLayoutVars>
          <dgm:bulletEnabled val="1"/>
        </dgm:presLayoutVars>
      </dgm:prSet>
      <dgm:spPr/>
    </dgm:pt>
    <dgm:pt modelId="{0135E00D-1D70-4FF1-87C5-B223D86E38AC}" type="pres">
      <dgm:prSet presAssocID="{9CCB3231-C9E9-4856-946B-B930E510AFCD}" presName="FourConn_2-3" presStyleLbl="fgAccFollowNode1" presStyleIdx="1" presStyleCnt="3">
        <dgm:presLayoutVars>
          <dgm:bulletEnabled val="1"/>
        </dgm:presLayoutVars>
      </dgm:prSet>
      <dgm:spPr/>
    </dgm:pt>
    <dgm:pt modelId="{7926DC64-A493-4BE1-BDC8-81EF4F76EC3A}" type="pres">
      <dgm:prSet presAssocID="{9CCB3231-C9E9-4856-946B-B930E510AFCD}" presName="FourConn_3-4" presStyleLbl="fgAccFollowNode1" presStyleIdx="2" presStyleCnt="3">
        <dgm:presLayoutVars>
          <dgm:bulletEnabled val="1"/>
        </dgm:presLayoutVars>
      </dgm:prSet>
      <dgm:spPr/>
    </dgm:pt>
    <dgm:pt modelId="{88396AA2-DB08-4A23-9A45-612EDF29AA5E}" type="pres">
      <dgm:prSet presAssocID="{9CCB3231-C9E9-4856-946B-B930E510AFCD}" presName="FourNodes_1_text" presStyleLbl="node1" presStyleIdx="3" presStyleCnt="4">
        <dgm:presLayoutVars>
          <dgm:bulletEnabled val="1"/>
        </dgm:presLayoutVars>
      </dgm:prSet>
      <dgm:spPr/>
    </dgm:pt>
    <dgm:pt modelId="{A292461E-4430-420F-AB77-D2FCE8B73AC8}" type="pres">
      <dgm:prSet presAssocID="{9CCB3231-C9E9-4856-946B-B930E510AFCD}" presName="FourNodes_2_text" presStyleLbl="node1" presStyleIdx="3" presStyleCnt="4">
        <dgm:presLayoutVars>
          <dgm:bulletEnabled val="1"/>
        </dgm:presLayoutVars>
      </dgm:prSet>
      <dgm:spPr/>
    </dgm:pt>
    <dgm:pt modelId="{1BE113F9-1635-4F8E-93B8-9838D17B7BCB}" type="pres">
      <dgm:prSet presAssocID="{9CCB3231-C9E9-4856-946B-B930E510AFCD}" presName="FourNodes_3_text" presStyleLbl="node1" presStyleIdx="3" presStyleCnt="4">
        <dgm:presLayoutVars>
          <dgm:bulletEnabled val="1"/>
        </dgm:presLayoutVars>
      </dgm:prSet>
      <dgm:spPr/>
    </dgm:pt>
    <dgm:pt modelId="{6ABEB5E2-5CCF-49C6-9781-C52C49408B8D}" type="pres">
      <dgm:prSet presAssocID="{9CCB3231-C9E9-4856-946B-B930E510AFCD}" presName="FourNodes_4_text" presStyleLbl="node1" presStyleIdx="3" presStyleCnt="4">
        <dgm:presLayoutVars>
          <dgm:bulletEnabled val="1"/>
        </dgm:presLayoutVars>
      </dgm:prSet>
      <dgm:spPr/>
    </dgm:pt>
  </dgm:ptLst>
  <dgm:cxnLst>
    <dgm:cxn modelId="{3A1A3B0A-B671-48C8-B86A-2D33311B368B}" type="presOf" srcId="{3E82FE4E-9132-4B10-8085-010B9CA5EA00}" destId="{0135E00D-1D70-4FF1-87C5-B223D86E38AC}" srcOrd="0" destOrd="0" presId="urn:microsoft.com/office/officeart/2005/8/layout/vProcess5"/>
    <dgm:cxn modelId="{50B88A2E-7668-4034-9E17-7A6812DF51DE}" type="presOf" srcId="{9DE3836C-61FF-4299-B8D9-E67772858B4A}" destId="{A292461E-4430-420F-AB77-D2FCE8B73AC8}" srcOrd="1" destOrd="0" presId="urn:microsoft.com/office/officeart/2005/8/layout/vProcess5"/>
    <dgm:cxn modelId="{44B7F32E-60BC-429A-9EB5-4BA43645CA57}" srcId="{9CCB3231-C9E9-4856-946B-B930E510AFCD}" destId="{F4C4A1F6-87D7-4A59-8194-35BE2F57ABFB}" srcOrd="2" destOrd="0" parTransId="{07BCD0F8-0852-481C-863A-DB7816FE095E}" sibTransId="{9ECF68C7-ACBF-4C9D-B5CC-08AC23A135F9}"/>
    <dgm:cxn modelId="{8EB8BD31-54DD-45C2-B335-B1A4D4A87C6B}" type="presOf" srcId="{9DE3836C-61FF-4299-B8D9-E67772858B4A}" destId="{425D74A9-7A27-4247-9ECC-14C3FA8443CA}" srcOrd="0" destOrd="0" presId="urn:microsoft.com/office/officeart/2005/8/layout/vProcess5"/>
    <dgm:cxn modelId="{FD53EF36-83F9-44F8-8C61-7A0146C74A37}" type="presOf" srcId="{9ECF68C7-ACBF-4C9D-B5CC-08AC23A135F9}" destId="{7926DC64-A493-4BE1-BDC8-81EF4F76EC3A}" srcOrd="0" destOrd="0" presId="urn:microsoft.com/office/officeart/2005/8/layout/vProcess5"/>
    <dgm:cxn modelId="{3BB4AD3C-1BB1-4B6B-B193-F175AE255C8F}" type="presOf" srcId="{9CCB3231-C9E9-4856-946B-B930E510AFCD}" destId="{A7CD2F23-7D75-46E7-A48D-B089E0A5D165}" srcOrd="0" destOrd="0" presId="urn:microsoft.com/office/officeart/2005/8/layout/vProcess5"/>
    <dgm:cxn modelId="{7E873758-DA70-4982-9BC5-A002D87093C7}" type="presOf" srcId="{F4C4A1F6-87D7-4A59-8194-35BE2F57ABFB}" destId="{1BE113F9-1635-4F8E-93B8-9838D17B7BCB}" srcOrd="1" destOrd="0" presId="urn:microsoft.com/office/officeart/2005/8/layout/vProcess5"/>
    <dgm:cxn modelId="{1329887C-B9FC-42D3-B4C5-2271BB190354}" type="presOf" srcId="{B7181E6C-B41C-4535-B76F-4C99873B2AAE}" destId="{77670704-BA69-49EB-824E-B206A9608BF9}" srcOrd="0" destOrd="0" presId="urn:microsoft.com/office/officeart/2005/8/layout/vProcess5"/>
    <dgm:cxn modelId="{3015F77E-5A55-47D3-AB3D-0020C5A3DFF2}" srcId="{9CCB3231-C9E9-4856-946B-B930E510AFCD}" destId="{3761FF1D-FAD8-475B-8E75-9EFEA138AEE7}" srcOrd="3" destOrd="0" parTransId="{27DAF2F4-4A5E-44FC-B6AD-40A5A8707B37}" sibTransId="{FCB0AA3C-DEFC-45DB-A7E7-B3291A151882}"/>
    <dgm:cxn modelId="{05989788-5548-42E5-8680-63ACDFA57957}" type="presOf" srcId="{F4C4A1F6-87D7-4A59-8194-35BE2F57ABFB}" destId="{15CF19ED-60DB-441D-89A3-FAE044F68D6F}" srcOrd="0" destOrd="0" presId="urn:microsoft.com/office/officeart/2005/8/layout/vProcess5"/>
    <dgm:cxn modelId="{BDB0E6AE-2959-4171-BBAE-53D72FB9D1AE}" type="presOf" srcId="{C6D59A22-2FA3-4E0F-A1B8-A8B97A99866A}" destId="{F8304FBF-F1E2-432B-9474-F8E2E85AC885}" srcOrd="0" destOrd="0" presId="urn:microsoft.com/office/officeart/2005/8/layout/vProcess5"/>
    <dgm:cxn modelId="{404620BF-042F-4047-B957-677B4593F820}" srcId="{9CCB3231-C9E9-4856-946B-B930E510AFCD}" destId="{9DE3836C-61FF-4299-B8D9-E67772858B4A}" srcOrd="1" destOrd="0" parTransId="{6188E0B1-C1D6-4470-AEC6-D1F8D061BCBE}" sibTransId="{3E82FE4E-9132-4B10-8085-010B9CA5EA00}"/>
    <dgm:cxn modelId="{F534C7C2-4790-4789-B747-A51602FDC3AE}" type="presOf" srcId="{3761FF1D-FAD8-475B-8E75-9EFEA138AEE7}" destId="{6ABEB5E2-5CCF-49C6-9781-C52C49408B8D}" srcOrd="1" destOrd="0" presId="urn:microsoft.com/office/officeart/2005/8/layout/vProcess5"/>
    <dgm:cxn modelId="{A604F2CB-AE11-4652-BACA-B7FDA4ACE2E3}" type="presOf" srcId="{3761FF1D-FAD8-475B-8E75-9EFEA138AEE7}" destId="{8919007B-4F55-4C8F-AD3E-F7CD0B9FEE49}" srcOrd="0" destOrd="0" presId="urn:microsoft.com/office/officeart/2005/8/layout/vProcess5"/>
    <dgm:cxn modelId="{F7D2FCEC-6FDC-49D5-806C-16C4F771B03D}" srcId="{9CCB3231-C9E9-4856-946B-B930E510AFCD}" destId="{B7181E6C-B41C-4535-B76F-4C99873B2AAE}" srcOrd="0" destOrd="0" parTransId="{2B36327E-2404-4C86-AC1F-64A1F6329B08}" sibTransId="{C6D59A22-2FA3-4E0F-A1B8-A8B97A99866A}"/>
    <dgm:cxn modelId="{3353F5F9-AD65-42A9-A01D-F83865456F07}" type="presOf" srcId="{B7181E6C-B41C-4535-B76F-4C99873B2AAE}" destId="{88396AA2-DB08-4A23-9A45-612EDF29AA5E}" srcOrd="1" destOrd="0" presId="urn:microsoft.com/office/officeart/2005/8/layout/vProcess5"/>
    <dgm:cxn modelId="{0D2C4D02-2132-4F48-ADDD-53D325C30718}" type="presParOf" srcId="{A7CD2F23-7D75-46E7-A48D-B089E0A5D165}" destId="{101E8BE3-75AA-4195-8F2A-1021872B3B02}" srcOrd="0" destOrd="0" presId="urn:microsoft.com/office/officeart/2005/8/layout/vProcess5"/>
    <dgm:cxn modelId="{395CAEBD-4110-4C94-87FD-30B48C632C86}" type="presParOf" srcId="{A7CD2F23-7D75-46E7-A48D-B089E0A5D165}" destId="{77670704-BA69-49EB-824E-B206A9608BF9}" srcOrd="1" destOrd="0" presId="urn:microsoft.com/office/officeart/2005/8/layout/vProcess5"/>
    <dgm:cxn modelId="{63EAD930-AFD9-4292-A6A1-8454D926D61F}" type="presParOf" srcId="{A7CD2F23-7D75-46E7-A48D-B089E0A5D165}" destId="{425D74A9-7A27-4247-9ECC-14C3FA8443CA}" srcOrd="2" destOrd="0" presId="urn:microsoft.com/office/officeart/2005/8/layout/vProcess5"/>
    <dgm:cxn modelId="{EB189916-00B6-4DF3-8257-1605013977F4}" type="presParOf" srcId="{A7CD2F23-7D75-46E7-A48D-B089E0A5D165}" destId="{15CF19ED-60DB-441D-89A3-FAE044F68D6F}" srcOrd="3" destOrd="0" presId="urn:microsoft.com/office/officeart/2005/8/layout/vProcess5"/>
    <dgm:cxn modelId="{45AE486F-6595-4892-97EE-14B37A16657F}" type="presParOf" srcId="{A7CD2F23-7D75-46E7-A48D-B089E0A5D165}" destId="{8919007B-4F55-4C8F-AD3E-F7CD0B9FEE49}" srcOrd="4" destOrd="0" presId="urn:microsoft.com/office/officeart/2005/8/layout/vProcess5"/>
    <dgm:cxn modelId="{7CF5F291-EA68-48B9-B158-A9D84A23232A}" type="presParOf" srcId="{A7CD2F23-7D75-46E7-A48D-B089E0A5D165}" destId="{F8304FBF-F1E2-432B-9474-F8E2E85AC885}" srcOrd="5" destOrd="0" presId="urn:microsoft.com/office/officeart/2005/8/layout/vProcess5"/>
    <dgm:cxn modelId="{02B617A2-E495-4924-AF54-21F8F7274724}" type="presParOf" srcId="{A7CD2F23-7D75-46E7-A48D-B089E0A5D165}" destId="{0135E00D-1D70-4FF1-87C5-B223D86E38AC}" srcOrd="6" destOrd="0" presId="urn:microsoft.com/office/officeart/2005/8/layout/vProcess5"/>
    <dgm:cxn modelId="{2B66110F-F4DB-4AD1-B1FC-3420D567A0E6}" type="presParOf" srcId="{A7CD2F23-7D75-46E7-A48D-B089E0A5D165}" destId="{7926DC64-A493-4BE1-BDC8-81EF4F76EC3A}" srcOrd="7" destOrd="0" presId="urn:microsoft.com/office/officeart/2005/8/layout/vProcess5"/>
    <dgm:cxn modelId="{B1FE3DBC-C928-4B06-9F92-798F78571592}" type="presParOf" srcId="{A7CD2F23-7D75-46E7-A48D-B089E0A5D165}" destId="{88396AA2-DB08-4A23-9A45-612EDF29AA5E}" srcOrd="8" destOrd="0" presId="urn:microsoft.com/office/officeart/2005/8/layout/vProcess5"/>
    <dgm:cxn modelId="{418B381B-8A7B-416D-9044-7C56920E3015}" type="presParOf" srcId="{A7CD2F23-7D75-46E7-A48D-B089E0A5D165}" destId="{A292461E-4430-420F-AB77-D2FCE8B73AC8}" srcOrd="9" destOrd="0" presId="urn:microsoft.com/office/officeart/2005/8/layout/vProcess5"/>
    <dgm:cxn modelId="{025EACB5-08E0-4040-9C98-0C6EA97D3F35}" type="presParOf" srcId="{A7CD2F23-7D75-46E7-A48D-B089E0A5D165}" destId="{1BE113F9-1635-4F8E-93B8-9838D17B7BCB}" srcOrd="10" destOrd="0" presId="urn:microsoft.com/office/officeart/2005/8/layout/vProcess5"/>
    <dgm:cxn modelId="{B510DB5F-C194-4B5B-9AC2-C37AB280A6AF}" type="presParOf" srcId="{A7CD2F23-7D75-46E7-A48D-B089E0A5D165}" destId="{6ABEB5E2-5CCF-49C6-9781-C52C49408B8D}" srcOrd="11"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670704-BA69-49EB-824E-B206A9608BF9}">
      <dsp:nvSpPr>
        <dsp:cNvPr id="0" name=""/>
        <dsp:cNvSpPr/>
      </dsp:nvSpPr>
      <dsp:spPr>
        <a:xfrm>
          <a:off x="0" y="0"/>
          <a:ext cx="2664984" cy="242164"/>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FF0000"/>
              </a:solidFill>
              <a:latin typeface="Arial" panose="020B0604020202020204" pitchFamily="34" charset="0"/>
              <a:cs typeface="Arial" panose="020B0604020202020204" pitchFamily="34" charset="0"/>
            </a:rPr>
            <a:t>Paramétrage de l'application</a:t>
          </a:r>
        </a:p>
      </dsp:txBody>
      <dsp:txXfrm>
        <a:off x="7093" y="7093"/>
        <a:ext cx="2383207" cy="227978"/>
      </dsp:txXfrm>
    </dsp:sp>
    <dsp:sp modelId="{425D74A9-7A27-4247-9ECC-14C3FA8443CA}">
      <dsp:nvSpPr>
        <dsp:cNvPr id="0" name=""/>
        <dsp:cNvSpPr/>
      </dsp:nvSpPr>
      <dsp:spPr>
        <a:xfrm>
          <a:off x="223192" y="286194"/>
          <a:ext cx="2664984" cy="2421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FF0000"/>
              </a:solidFill>
              <a:latin typeface="Arial" panose="020B0604020202020204" pitchFamily="34" charset="0"/>
              <a:cs typeface="Arial" panose="020B0604020202020204" pitchFamily="34" charset="0"/>
            </a:rPr>
            <a:t>Saisie des bases </a:t>
          </a:r>
        </a:p>
      </dsp:txBody>
      <dsp:txXfrm>
        <a:off x="230285" y="293287"/>
        <a:ext cx="2270199" cy="227978"/>
      </dsp:txXfrm>
    </dsp:sp>
    <dsp:sp modelId="{15CF19ED-60DB-441D-89A3-FAE044F68D6F}">
      <dsp:nvSpPr>
        <dsp:cNvPr id="0" name=""/>
        <dsp:cNvSpPr/>
      </dsp:nvSpPr>
      <dsp:spPr>
        <a:xfrm>
          <a:off x="443053" y="572388"/>
          <a:ext cx="2664984" cy="2421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FF0000"/>
              </a:solidFill>
              <a:latin typeface="Arial" panose="020B0604020202020204" pitchFamily="34" charset="0"/>
              <a:cs typeface="Arial" panose="020B0604020202020204" pitchFamily="34" charset="0"/>
            </a:rPr>
            <a:t>Utilisation courante</a:t>
          </a:r>
        </a:p>
      </dsp:txBody>
      <dsp:txXfrm>
        <a:off x="450146" y="579481"/>
        <a:ext cx="2273530" cy="227978"/>
      </dsp:txXfrm>
    </dsp:sp>
    <dsp:sp modelId="{8919007B-4F55-4C8F-AD3E-F7CD0B9FEE49}">
      <dsp:nvSpPr>
        <dsp:cNvPr id="0" name=""/>
        <dsp:cNvSpPr/>
      </dsp:nvSpPr>
      <dsp:spPr>
        <a:xfrm>
          <a:off x="666246" y="858582"/>
          <a:ext cx="2664984" cy="2421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b="1" kern="1200">
              <a:solidFill>
                <a:srgbClr val="FF0000"/>
              </a:solidFill>
              <a:latin typeface="Arial" panose="020B0604020202020204" pitchFamily="34" charset="0"/>
              <a:cs typeface="Arial" panose="020B0604020202020204" pitchFamily="34" charset="0"/>
            </a:rPr>
            <a:t>Statistiques</a:t>
          </a:r>
        </a:p>
      </dsp:txBody>
      <dsp:txXfrm>
        <a:off x="673339" y="865675"/>
        <a:ext cx="2270199" cy="227978"/>
      </dsp:txXfrm>
    </dsp:sp>
    <dsp:sp modelId="{F8304FBF-F1E2-432B-9474-F8E2E85AC885}">
      <dsp:nvSpPr>
        <dsp:cNvPr id="0" name=""/>
        <dsp:cNvSpPr/>
      </dsp:nvSpPr>
      <dsp:spPr>
        <a:xfrm>
          <a:off x="2507577" y="185475"/>
          <a:ext cx="157406" cy="15740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fr-FR" sz="1200" b="1" kern="1200">
            <a:solidFill>
              <a:srgbClr val="FF0000"/>
            </a:solidFill>
            <a:latin typeface="Arial" panose="020B0604020202020204" pitchFamily="34" charset="0"/>
            <a:cs typeface="Arial" panose="020B0604020202020204" pitchFamily="34" charset="0"/>
          </a:endParaRPr>
        </a:p>
      </dsp:txBody>
      <dsp:txXfrm>
        <a:off x="2542993" y="185475"/>
        <a:ext cx="86574" cy="118448"/>
      </dsp:txXfrm>
    </dsp:sp>
    <dsp:sp modelId="{0135E00D-1D70-4FF1-87C5-B223D86E38AC}">
      <dsp:nvSpPr>
        <dsp:cNvPr id="0" name=""/>
        <dsp:cNvSpPr/>
      </dsp:nvSpPr>
      <dsp:spPr>
        <a:xfrm>
          <a:off x="2730770" y="471670"/>
          <a:ext cx="157406" cy="15740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fr-FR" sz="1200" b="1" kern="1200">
            <a:solidFill>
              <a:srgbClr val="FF0000"/>
            </a:solidFill>
            <a:latin typeface="Arial" panose="020B0604020202020204" pitchFamily="34" charset="0"/>
            <a:cs typeface="Arial" panose="020B0604020202020204" pitchFamily="34" charset="0"/>
          </a:endParaRPr>
        </a:p>
      </dsp:txBody>
      <dsp:txXfrm>
        <a:off x="2766186" y="471670"/>
        <a:ext cx="86574" cy="118448"/>
      </dsp:txXfrm>
    </dsp:sp>
    <dsp:sp modelId="{7926DC64-A493-4BE1-BDC8-81EF4F76EC3A}">
      <dsp:nvSpPr>
        <dsp:cNvPr id="0" name=""/>
        <dsp:cNvSpPr/>
      </dsp:nvSpPr>
      <dsp:spPr>
        <a:xfrm>
          <a:off x="2950631" y="757864"/>
          <a:ext cx="157406" cy="15740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fr-FR" sz="1200" b="1" kern="1200">
            <a:solidFill>
              <a:srgbClr val="FF0000"/>
            </a:solidFill>
            <a:latin typeface="Arial" panose="020B0604020202020204" pitchFamily="34" charset="0"/>
            <a:cs typeface="Arial" panose="020B0604020202020204" pitchFamily="34" charset="0"/>
          </a:endParaRPr>
        </a:p>
      </dsp:txBody>
      <dsp:txXfrm>
        <a:off x="2986047" y="757864"/>
        <a:ext cx="86574" cy="11844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2404</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2014-12-27T18:54:00Z</dcterms:created>
  <dcterms:modified xsi:type="dcterms:W3CDTF">2023-03-04T23:39:00Z</dcterms:modified>
</cp:coreProperties>
</file>