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379"/>
        <w:gridCol w:w="992"/>
        <w:gridCol w:w="1312"/>
      </w:tblGrid>
      <w:tr w:rsidR="00820E35" w:rsidRPr="00C22356" w14:paraId="55895333" w14:textId="77777777" w:rsidTr="00104F83">
        <w:trPr>
          <w:trHeight w:val="386"/>
        </w:trPr>
        <w:tc>
          <w:tcPr>
            <w:tcW w:w="8642" w:type="dxa"/>
            <w:gridSpan w:val="3"/>
            <w:shd w:val="clear" w:color="auto" w:fill="92D050"/>
            <w:vAlign w:val="center"/>
          </w:tcPr>
          <w:p w14:paraId="33424E05" w14:textId="77777777" w:rsidR="00820E35" w:rsidRPr="007E34AA" w:rsidRDefault="00820E35" w:rsidP="00104F83">
            <w:pPr>
              <w:pStyle w:val="Titre2"/>
              <w:spacing w:before="120"/>
              <w:jc w:val="center"/>
              <w:rPr>
                <w:szCs w:val="22"/>
              </w:rPr>
            </w:pPr>
            <w:bookmarkStart w:id="0" w:name="_Hlk23630869"/>
            <w:r w:rsidRPr="007E34AA">
              <w:rPr>
                <w:szCs w:val="22"/>
              </w:rPr>
              <w:t>Mission 3 - Analyser les relations fournisseurs</w:t>
            </w:r>
          </w:p>
        </w:tc>
        <w:tc>
          <w:tcPr>
            <w:tcW w:w="1312" w:type="dxa"/>
            <w:shd w:val="clear" w:color="auto" w:fill="92D050"/>
            <w:vAlign w:val="center"/>
          </w:tcPr>
          <w:p w14:paraId="11B7DC41" w14:textId="77777777" w:rsidR="00820E35" w:rsidRPr="00C22356" w:rsidRDefault="00820E35" w:rsidP="00104F83">
            <w:pPr>
              <w:jc w:val="center"/>
              <w:rPr>
                <w:b/>
              </w:rPr>
            </w:pPr>
            <w:r>
              <w:rPr>
                <w:b/>
                <w:noProof/>
              </w:rPr>
              <w:drawing>
                <wp:inline distT="0" distB="0" distL="0" distR="0" wp14:anchorId="75439A8B" wp14:editId="3D8CB192">
                  <wp:extent cx="691878" cy="648636"/>
                  <wp:effectExtent l="0" t="0" r="0" b="0"/>
                  <wp:docPr id="15" name="Image 15" descr="Une image contenant assis, extérieur,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B8E103.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315" cy="662170"/>
                          </a:xfrm>
                          <a:prstGeom prst="rect">
                            <a:avLst/>
                          </a:prstGeom>
                        </pic:spPr>
                      </pic:pic>
                    </a:graphicData>
                  </a:graphic>
                </wp:inline>
              </w:drawing>
            </w:r>
          </w:p>
        </w:tc>
      </w:tr>
      <w:tr w:rsidR="00820E35" w:rsidRPr="00820E35" w14:paraId="255E82C5" w14:textId="77777777" w:rsidTr="00104F83">
        <w:trPr>
          <w:trHeight w:val="386"/>
        </w:trPr>
        <w:tc>
          <w:tcPr>
            <w:tcW w:w="1271" w:type="dxa"/>
            <w:shd w:val="clear" w:color="auto" w:fill="92D050"/>
            <w:vAlign w:val="center"/>
          </w:tcPr>
          <w:p w14:paraId="10499E1A" w14:textId="77777777" w:rsidR="00820E35" w:rsidRPr="00820E35" w:rsidRDefault="00820E35" w:rsidP="00104F83">
            <w:pPr>
              <w:jc w:val="left"/>
              <w:rPr>
                <w:sz w:val="20"/>
                <w:szCs w:val="20"/>
              </w:rPr>
            </w:pPr>
            <w:r w:rsidRPr="00820E35">
              <w:rPr>
                <w:sz w:val="20"/>
                <w:szCs w:val="20"/>
              </w:rPr>
              <w:t>Durée : 1 h</w:t>
            </w:r>
          </w:p>
        </w:tc>
        <w:tc>
          <w:tcPr>
            <w:tcW w:w="6379" w:type="dxa"/>
            <w:shd w:val="clear" w:color="auto" w:fill="92D050"/>
          </w:tcPr>
          <w:p w14:paraId="7343055D" w14:textId="77777777" w:rsidR="00820E35" w:rsidRPr="00820E35" w:rsidRDefault="00820E35" w:rsidP="00104F83">
            <w:pPr>
              <w:jc w:val="center"/>
              <w:rPr>
                <w:sz w:val="20"/>
                <w:szCs w:val="20"/>
              </w:rPr>
            </w:pPr>
            <w:r w:rsidRPr="00820E35">
              <w:rPr>
                <w:i/>
                <w:noProof/>
                <w:sz w:val="20"/>
                <w:szCs w:val="20"/>
              </w:rPr>
              <w:drawing>
                <wp:inline distT="0" distB="0" distL="0" distR="0" wp14:anchorId="5984F73E" wp14:editId="5D0DF11E">
                  <wp:extent cx="324000" cy="324000"/>
                  <wp:effectExtent l="0" t="0" r="0" b="0"/>
                  <wp:docPr id="17" name="Graphique 1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820E35">
              <w:rPr>
                <w:iCs/>
                <w:sz w:val="20"/>
                <w:szCs w:val="20"/>
              </w:rPr>
              <w:t>ou</w:t>
            </w:r>
            <w:r w:rsidRPr="00820E35">
              <w:rPr>
                <w:i/>
                <w:noProof/>
                <w:sz w:val="20"/>
                <w:szCs w:val="20"/>
              </w:rPr>
              <w:drawing>
                <wp:inline distT="0" distB="0" distL="0" distR="0" wp14:anchorId="7AE805CE" wp14:editId="32339DFB">
                  <wp:extent cx="360000" cy="360000"/>
                  <wp:effectExtent l="0" t="0" r="0" b="2540"/>
                  <wp:docPr id="18" name="Graphique 1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304" w:type="dxa"/>
            <w:gridSpan w:val="2"/>
            <w:shd w:val="clear" w:color="auto" w:fill="92D050"/>
            <w:vAlign w:val="center"/>
          </w:tcPr>
          <w:p w14:paraId="6D31AA48" w14:textId="77777777" w:rsidR="00820E35" w:rsidRPr="00820E35" w:rsidRDefault="00820E35" w:rsidP="00104F83">
            <w:pPr>
              <w:jc w:val="center"/>
              <w:rPr>
                <w:bCs/>
                <w:sz w:val="20"/>
                <w:szCs w:val="20"/>
              </w:rPr>
            </w:pPr>
            <w:r w:rsidRPr="00820E35">
              <w:rPr>
                <w:bCs/>
                <w:sz w:val="20"/>
                <w:szCs w:val="20"/>
              </w:rPr>
              <w:t xml:space="preserve">Source | Source Excel </w:t>
            </w:r>
          </w:p>
        </w:tc>
      </w:tr>
    </w:tbl>
    <w:p w14:paraId="35CB87B9" w14:textId="77777777" w:rsidR="00820E35" w:rsidRDefault="00820E35" w:rsidP="00820E35">
      <w:pPr>
        <w:pStyle w:val="tacheseurasment"/>
        <w:spacing w:before="120"/>
        <w:rPr>
          <w:rFonts w:cs="Arial"/>
          <w:color w:val="000000"/>
          <w:szCs w:val="20"/>
        </w:rPr>
      </w:pPr>
    </w:p>
    <w:p w14:paraId="5C229AF9" w14:textId="77777777" w:rsidR="00820E35" w:rsidRPr="00A96303" w:rsidRDefault="00820E35" w:rsidP="00820E35">
      <w:pPr>
        <w:spacing w:after="120"/>
        <w:rPr>
          <w:b/>
          <w:sz w:val="24"/>
          <w:szCs w:val="24"/>
        </w:rPr>
      </w:pPr>
      <w:r w:rsidRPr="00A96303">
        <w:rPr>
          <w:b/>
          <w:sz w:val="24"/>
          <w:szCs w:val="24"/>
        </w:rPr>
        <w:t>Contexte professionnel</w:t>
      </w:r>
    </w:p>
    <w:p w14:paraId="36A02956" w14:textId="77777777" w:rsidR="00820E35" w:rsidRPr="00820E35" w:rsidRDefault="00820E35" w:rsidP="00820E35">
      <w:pPr>
        <w:rPr>
          <w:sz w:val="20"/>
        </w:rPr>
      </w:pPr>
      <w:r w:rsidRPr="00820E35">
        <w:rPr>
          <w:sz w:val="20"/>
        </w:rPr>
        <w:t>M. Solliet s’interroge sur la qualité de nos fournisseurs. Il vous remet un tableau qui récapitule les principales informations commerciales les concernant (Source Excel). Le tableau indique les principaux litiges rencontrés avec les fournisseurs et avec leurs transporteurs au cours de l’année écoulée.</w:t>
      </w:r>
    </w:p>
    <w:p w14:paraId="395E8AC7" w14:textId="77777777" w:rsidR="00820E35" w:rsidRDefault="00820E35" w:rsidP="00820E35">
      <w:pPr>
        <w:rPr>
          <w:szCs w:val="24"/>
        </w:rPr>
      </w:pPr>
    </w:p>
    <w:tbl>
      <w:tblPr>
        <w:tblW w:w="9399" w:type="dxa"/>
        <w:tblCellMar>
          <w:left w:w="70" w:type="dxa"/>
          <w:right w:w="70" w:type="dxa"/>
        </w:tblCellMar>
        <w:tblLook w:val="04A0" w:firstRow="1" w:lastRow="0" w:firstColumn="1" w:lastColumn="0" w:noHBand="0" w:noVBand="1"/>
      </w:tblPr>
      <w:tblGrid>
        <w:gridCol w:w="4054"/>
        <w:gridCol w:w="1364"/>
        <w:gridCol w:w="1364"/>
        <w:gridCol w:w="1364"/>
        <w:gridCol w:w="1253"/>
      </w:tblGrid>
      <w:tr w:rsidR="00820E35" w:rsidRPr="00820E35" w14:paraId="1B13DC69" w14:textId="77777777" w:rsidTr="00104F83">
        <w:trPr>
          <w:trHeight w:val="300"/>
        </w:trPr>
        <w:tc>
          <w:tcPr>
            <w:tcW w:w="405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AFED985" w14:textId="77777777" w:rsidR="00820E35" w:rsidRPr="00820E35" w:rsidRDefault="00820E35" w:rsidP="00104F83">
            <w:pPr>
              <w:jc w:val="center"/>
              <w:rPr>
                <w:rFonts w:eastAsia="Times New Roman" w:cs="Arial"/>
                <w:b/>
                <w:bCs/>
                <w:color w:val="000000"/>
                <w:sz w:val="20"/>
                <w:szCs w:val="18"/>
                <w:lang w:eastAsia="fr-FR"/>
              </w:rPr>
            </w:pPr>
            <w:r w:rsidRPr="00820E35">
              <w:rPr>
                <w:rFonts w:eastAsia="Times New Roman" w:cs="Arial"/>
                <w:b/>
                <w:bCs/>
                <w:color w:val="000000"/>
                <w:sz w:val="20"/>
                <w:szCs w:val="18"/>
                <w:lang w:eastAsia="fr-FR"/>
              </w:rPr>
              <w:t>Fournisseurs</w:t>
            </w:r>
          </w:p>
        </w:tc>
        <w:tc>
          <w:tcPr>
            <w:tcW w:w="136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DEBAC5E" w14:textId="77777777" w:rsidR="00820E35" w:rsidRPr="00820E35" w:rsidRDefault="00820E35" w:rsidP="00104F83">
            <w:pPr>
              <w:jc w:val="center"/>
              <w:rPr>
                <w:rFonts w:eastAsia="Times New Roman" w:cs="Arial"/>
                <w:b/>
                <w:bCs/>
                <w:color w:val="000000"/>
                <w:sz w:val="20"/>
                <w:szCs w:val="18"/>
                <w:lang w:eastAsia="fr-FR"/>
              </w:rPr>
            </w:pPr>
            <w:proofErr w:type="spellStart"/>
            <w:r w:rsidRPr="00820E35">
              <w:rPr>
                <w:rFonts w:eastAsia="Times New Roman" w:cs="Arial"/>
                <w:b/>
                <w:bCs/>
                <w:color w:val="000000"/>
                <w:sz w:val="20"/>
                <w:szCs w:val="18"/>
                <w:lang w:eastAsia="fr-FR"/>
              </w:rPr>
              <w:t>Alf-Art</w:t>
            </w:r>
            <w:proofErr w:type="spellEnd"/>
          </w:p>
        </w:tc>
        <w:tc>
          <w:tcPr>
            <w:tcW w:w="136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5405F19" w14:textId="77777777" w:rsidR="00820E35" w:rsidRPr="00820E35" w:rsidRDefault="00820E35" w:rsidP="00104F83">
            <w:pPr>
              <w:jc w:val="center"/>
              <w:rPr>
                <w:rFonts w:eastAsia="Times New Roman" w:cs="Arial"/>
                <w:b/>
                <w:bCs/>
                <w:color w:val="000000"/>
                <w:sz w:val="20"/>
                <w:szCs w:val="18"/>
                <w:lang w:eastAsia="fr-FR"/>
              </w:rPr>
            </w:pPr>
            <w:r w:rsidRPr="00820E35">
              <w:rPr>
                <w:rFonts w:eastAsia="Times New Roman" w:cs="Arial"/>
                <w:b/>
                <w:bCs/>
                <w:color w:val="000000"/>
                <w:sz w:val="20"/>
                <w:szCs w:val="18"/>
                <w:lang w:eastAsia="fr-FR"/>
              </w:rPr>
              <w:t>Art-Total</w:t>
            </w:r>
          </w:p>
        </w:tc>
        <w:tc>
          <w:tcPr>
            <w:tcW w:w="136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18D30D4" w14:textId="77777777" w:rsidR="00820E35" w:rsidRPr="00820E35" w:rsidRDefault="00820E35" w:rsidP="00104F83">
            <w:pPr>
              <w:jc w:val="center"/>
              <w:rPr>
                <w:rFonts w:eastAsia="Times New Roman" w:cs="Arial"/>
                <w:b/>
                <w:bCs/>
                <w:color w:val="000000"/>
                <w:sz w:val="20"/>
                <w:szCs w:val="18"/>
                <w:lang w:eastAsia="fr-FR"/>
              </w:rPr>
            </w:pPr>
            <w:r w:rsidRPr="00820E35">
              <w:rPr>
                <w:rFonts w:eastAsia="Times New Roman" w:cs="Arial"/>
                <w:b/>
                <w:bCs/>
                <w:color w:val="000000"/>
                <w:sz w:val="20"/>
                <w:szCs w:val="18"/>
                <w:lang w:eastAsia="fr-FR"/>
              </w:rPr>
              <w:t>Vinex</w:t>
            </w:r>
          </w:p>
        </w:tc>
        <w:tc>
          <w:tcPr>
            <w:tcW w:w="125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096FA79" w14:textId="77777777" w:rsidR="00820E35" w:rsidRPr="00820E35" w:rsidRDefault="00820E35" w:rsidP="00104F83">
            <w:pPr>
              <w:jc w:val="center"/>
              <w:rPr>
                <w:rFonts w:eastAsia="Times New Roman" w:cs="Arial"/>
                <w:b/>
                <w:bCs/>
                <w:color w:val="000000"/>
                <w:sz w:val="20"/>
                <w:szCs w:val="18"/>
                <w:lang w:eastAsia="fr-FR"/>
              </w:rPr>
            </w:pPr>
            <w:r w:rsidRPr="00820E35">
              <w:rPr>
                <w:rFonts w:eastAsia="Times New Roman" w:cs="Arial"/>
                <w:b/>
                <w:bCs/>
                <w:color w:val="000000"/>
                <w:sz w:val="20"/>
                <w:szCs w:val="18"/>
                <w:lang w:eastAsia="fr-FR"/>
              </w:rPr>
              <w:t>H2D2</w:t>
            </w:r>
          </w:p>
        </w:tc>
      </w:tr>
      <w:tr w:rsidR="00820E35" w:rsidRPr="00820E35" w14:paraId="23C23F5D"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63FB6390"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Nombre de commandes par an</w:t>
            </w:r>
          </w:p>
        </w:tc>
        <w:tc>
          <w:tcPr>
            <w:tcW w:w="1364" w:type="dxa"/>
            <w:tcBorders>
              <w:top w:val="nil"/>
              <w:left w:val="nil"/>
              <w:bottom w:val="single" w:sz="4" w:space="0" w:color="auto"/>
              <w:right w:val="single" w:sz="4" w:space="0" w:color="auto"/>
            </w:tcBorders>
            <w:shd w:val="clear" w:color="auto" w:fill="auto"/>
            <w:noWrap/>
            <w:vAlign w:val="center"/>
            <w:hideMark/>
          </w:tcPr>
          <w:p w14:paraId="3E2766BA"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28</w:t>
            </w:r>
          </w:p>
        </w:tc>
        <w:tc>
          <w:tcPr>
            <w:tcW w:w="1364" w:type="dxa"/>
            <w:tcBorders>
              <w:top w:val="nil"/>
              <w:left w:val="nil"/>
              <w:bottom w:val="single" w:sz="4" w:space="0" w:color="auto"/>
              <w:right w:val="single" w:sz="4" w:space="0" w:color="auto"/>
            </w:tcBorders>
            <w:shd w:val="clear" w:color="auto" w:fill="auto"/>
            <w:noWrap/>
            <w:vAlign w:val="center"/>
            <w:hideMark/>
          </w:tcPr>
          <w:p w14:paraId="089CB821"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8</w:t>
            </w:r>
          </w:p>
        </w:tc>
        <w:tc>
          <w:tcPr>
            <w:tcW w:w="1364" w:type="dxa"/>
            <w:tcBorders>
              <w:top w:val="nil"/>
              <w:left w:val="nil"/>
              <w:bottom w:val="single" w:sz="4" w:space="0" w:color="auto"/>
              <w:right w:val="single" w:sz="4" w:space="0" w:color="auto"/>
            </w:tcBorders>
            <w:shd w:val="clear" w:color="auto" w:fill="auto"/>
            <w:noWrap/>
            <w:vAlign w:val="center"/>
            <w:hideMark/>
          </w:tcPr>
          <w:p w14:paraId="7F507332"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25</w:t>
            </w:r>
          </w:p>
        </w:tc>
        <w:tc>
          <w:tcPr>
            <w:tcW w:w="1253" w:type="dxa"/>
            <w:tcBorders>
              <w:top w:val="nil"/>
              <w:left w:val="nil"/>
              <w:bottom w:val="single" w:sz="4" w:space="0" w:color="auto"/>
              <w:right w:val="single" w:sz="4" w:space="0" w:color="auto"/>
            </w:tcBorders>
            <w:shd w:val="clear" w:color="auto" w:fill="auto"/>
            <w:noWrap/>
            <w:vAlign w:val="center"/>
            <w:hideMark/>
          </w:tcPr>
          <w:p w14:paraId="4C60419F"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6</w:t>
            </w:r>
          </w:p>
        </w:tc>
      </w:tr>
      <w:tr w:rsidR="00820E35" w:rsidRPr="00820E35" w14:paraId="658F2A51"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6E059B03"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Total achats HT</w:t>
            </w:r>
          </w:p>
        </w:tc>
        <w:tc>
          <w:tcPr>
            <w:tcW w:w="1364" w:type="dxa"/>
            <w:tcBorders>
              <w:top w:val="nil"/>
              <w:left w:val="nil"/>
              <w:bottom w:val="single" w:sz="4" w:space="0" w:color="auto"/>
              <w:right w:val="single" w:sz="4" w:space="0" w:color="auto"/>
            </w:tcBorders>
            <w:shd w:val="clear" w:color="auto" w:fill="auto"/>
            <w:noWrap/>
            <w:vAlign w:val="center"/>
            <w:hideMark/>
          </w:tcPr>
          <w:p w14:paraId="6818C630"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38 000 €</w:t>
            </w:r>
          </w:p>
        </w:tc>
        <w:tc>
          <w:tcPr>
            <w:tcW w:w="1364" w:type="dxa"/>
            <w:tcBorders>
              <w:top w:val="nil"/>
              <w:left w:val="nil"/>
              <w:bottom w:val="single" w:sz="4" w:space="0" w:color="auto"/>
              <w:right w:val="single" w:sz="4" w:space="0" w:color="auto"/>
            </w:tcBorders>
            <w:shd w:val="clear" w:color="auto" w:fill="auto"/>
            <w:noWrap/>
            <w:vAlign w:val="center"/>
            <w:hideMark/>
          </w:tcPr>
          <w:p w14:paraId="19780245"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19 000 €</w:t>
            </w:r>
          </w:p>
        </w:tc>
        <w:tc>
          <w:tcPr>
            <w:tcW w:w="1364" w:type="dxa"/>
            <w:tcBorders>
              <w:top w:val="nil"/>
              <w:left w:val="nil"/>
              <w:bottom w:val="single" w:sz="4" w:space="0" w:color="auto"/>
              <w:right w:val="single" w:sz="4" w:space="0" w:color="auto"/>
            </w:tcBorders>
            <w:shd w:val="clear" w:color="auto" w:fill="auto"/>
            <w:noWrap/>
            <w:vAlign w:val="center"/>
            <w:hideMark/>
          </w:tcPr>
          <w:p w14:paraId="2BFBDAF2"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25 000 €</w:t>
            </w:r>
          </w:p>
        </w:tc>
        <w:tc>
          <w:tcPr>
            <w:tcW w:w="1253" w:type="dxa"/>
            <w:tcBorders>
              <w:top w:val="nil"/>
              <w:left w:val="nil"/>
              <w:bottom w:val="single" w:sz="4" w:space="0" w:color="auto"/>
              <w:right w:val="single" w:sz="4" w:space="0" w:color="auto"/>
            </w:tcBorders>
            <w:shd w:val="clear" w:color="auto" w:fill="auto"/>
            <w:noWrap/>
            <w:vAlign w:val="center"/>
            <w:hideMark/>
          </w:tcPr>
          <w:p w14:paraId="780B537F"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12 000 €</w:t>
            </w:r>
          </w:p>
        </w:tc>
      </w:tr>
      <w:tr w:rsidR="00820E35" w:rsidRPr="00820E35" w14:paraId="11507749"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405756F1"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Stock moyen</w:t>
            </w:r>
          </w:p>
        </w:tc>
        <w:tc>
          <w:tcPr>
            <w:tcW w:w="1364" w:type="dxa"/>
            <w:tcBorders>
              <w:top w:val="nil"/>
              <w:left w:val="nil"/>
              <w:bottom w:val="single" w:sz="4" w:space="0" w:color="auto"/>
              <w:right w:val="single" w:sz="4" w:space="0" w:color="auto"/>
            </w:tcBorders>
            <w:shd w:val="clear" w:color="auto" w:fill="auto"/>
            <w:noWrap/>
            <w:vAlign w:val="center"/>
            <w:hideMark/>
          </w:tcPr>
          <w:p w14:paraId="71AF3C81"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800 €</w:t>
            </w:r>
          </w:p>
        </w:tc>
        <w:tc>
          <w:tcPr>
            <w:tcW w:w="1364" w:type="dxa"/>
            <w:tcBorders>
              <w:top w:val="nil"/>
              <w:left w:val="nil"/>
              <w:bottom w:val="single" w:sz="4" w:space="0" w:color="auto"/>
              <w:right w:val="single" w:sz="4" w:space="0" w:color="auto"/>
            </w:tcBorders>
            <w:shd w:val="clear" w:color="auto" w:fill="auto"/>
            <w:noWrap/>
            <w:vAlign w:val="center"/>
            <w:hideMark/>
          </w:tcPr>
          <w:p w14:paraId="6AB122B6"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2 800 €</w:t>
            </w:r>
          </w:p>
        </w:tc>
        <w:tc>
          <w:tcPr>
            <w:tcW w:w="1364" w:type="dxa"/>
            <w:tcBorders>
              <w:top w:val="nil"/>
              <w:left w:val="nil"/>
              <w:bottom w:val="single" w:sz="4" w:space="0" w:color="auto"/>
              <w:right w:val="single" w:sz="4" w:space="0" w:color="auto"/>
            </w:tcBorders>
            <w:shd w:val="clear" w:color="auto" w:fill="auto"/>
            <w:noWrap/>
            <w:vAlign w:val="center"/>
            <w:hideMark/>
          </w:tcPr>
          <w:p w14:paraId="288D9814"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1 400 €</w:t>
            </w:r>
          </w:p>
        </w:tc>
        <w:tc>
          <w:tcPr>
            <w:tcW w:w="1253" w:type="dxa"/>
            <w:tcBorders>
              <w:top w:val="nil"/>
              <w:left w:val="nil"/>
              <w:bottom w:val="single" w:sz="4" w:space="0" w:color="auto"/>
              <w:right w:val="single" w:sz="4" w:space="0" w:color="auto"/>
            </w:tcBorders>
            <w:shd w:val="clear" w:color="auto" w:fill="auto"/>
            <w:noWrap/>
            <w:vAlign w:val="center"/>
            <w:hideMark/>
          </w:tcPr>
          <w:p w14:paraId="5B1009AF"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4 500 €</w:t>
            </w:r>
          </w:p>
        </w:tc>
      </w:tr>
      <w:tr w:rsidR="00820E35" w:rsidRPr="00820E35" w14:paraId="20F90A63"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56FCF6E5"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Délai de paiement</w:t>
            </w:r>
          </w:p>
        </w:tc>
        <w:tc>
          <w:tcPr>
            <w:tcW w:w="1364" w:type="dxa"/>
            <w:tcBorders>
              <w:top w:val="nil"/>
              <w:left w:val="nil"/>
              <w:bottom w:val="single" w:sz="4" w:space="0" w:color="auto"/>
              <w:right w:val="single" w:sz="4" w:space="0" w:color="auto"/>
            </w:tcBorders>
            <w:shd w:val="clear" w:color="auto" w:fill="auto"/>
            <w:noWrap/>
            <w:vAlign w:val="center"/>
            <w:hideMark/>
          </w:tcPr>
          <w:p w14:paraId="4198A50E"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30 JFM</w:t>
            </w:r>
          </w:p>
        </w:tc>
        <w:tc>
          <w:tcPr>
            <w:tcW w:w="1364" w:type="dxa"/>
            <w:tcBorders>
              <w:top w:val="nil"/>
              <w:left w:val="nil"/>
              <w:bottom w:val="single" w:sz="4" w:space="0" w:color="auto"/>
              <w:right w:val="single" w:sz="4" w:space="0" w:color="auto"/>
            </w:tcBorders>
            <w:shd w:val="clear" w:color="auto" w:fill="auto"/>
            <w:noWrap/>
            <w:vAlign w:val="center"/>
            <w:hideMark/>
          </w:tcPr>
          <w:p w14:paraId="1800D937"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45 JFM</w:t>
            </w:r>
          </w:p>
        </w:tc>
        <w:tc>
          <w:tcPr>
            <w:tcW w:w="1364" w:type="dxa"/>
            <w:tcBorders>
              <w:top w:val="nil"/>
              <w:left w:val="nil"/>
              <w:bottom w:val="single" w:sz="4" w:space="0" w:color="auto"/>
              <w:right w:val="single" w:sz="4" w:space="0" w:color="auto"/>
            </w:tcBorders>
            <w:shd w:val="clear" w:color="auto" w:fill="auto"/>
            <w:noWrap/>
            <w:vAlign w:val="center"/>
            <w:hideMark/>
          </w:tcPr>
          <w:p w14:paraId="7399BF43"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30 jours</w:t>
            </w:r>
          </w:p>
        </w:tc>
        <w:tc>
          <w:tcPr>
            <w:tcW w:w="1253" w:type="dxa"/>
            <w:tcBorders>
              <w:top w:val="nil"/>
              <w:left w:val="nil"/>
              <w:bottom w:val="single" w:sz="4" w:space="0" w:color="auto"/>
              <w:right w:val="single" w:sz="4" w:space="0" w:color="auto"/>
            </w:tcBorders>
            <w:shd w:val="clear" w:color="auto" w:fill="auto"/>
            <w:noWrap/>
            <w:vAlign w:val="center"/>
            <w:hideMark/>
          </w:tcPr>
          <w:p w14:paraId="6C4B5497"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30 JFM</w:t>
            </w:r>
          </w:p>
        </w:tc>
      </w:tr>
      <w:tr w:rsidR="00820E35" w:rsidRPr="00820E35" w14:paraId="2699E2A2"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0D10303D"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Nombre livraisons refusées</w:t>
            </w:r>
          </w:p>
        </w:tc>
        <w:tc>
          <w:tcPr>
            <w:tcW w:w="1364" w:type="dxa"/>
            <w:tcBorders>
              <w:top w:val="nil"/>
              <w:left w:val="nil"/>
              <w:bottom w:val="single" w:sz="4" w:space="0" w:color="auto"/>
              <w:right w:val="single" w:sz="4" w:space="0" w:color="auto"/>
            </w:tcBorders>
            <w:shd w:val="clear" w:color="auto" w:fill="auto"/>
            <w:noWrap/>
            <w:vAlign w:val="center"/>
            <w:hideMark/>
          </w:tcPr>
          <w:p w14:paraId="41175772"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w:t>
            </w:r>
          </w:p>
        </w:tc>
        <w:tc>
          <w:tcPr>
            <w:tcW w:w="1364" w:type="dxa"/>
            <w:tcBorders>
              <w:top w:val="nil"/>
              <w:left w:val="nil"/>
              <w:bottom w:val="single" w:sz="4" w:space="0" w:color="auto"/>
              <w:right w:val="single" w:sz="4" w:space="0" w:color="auto"/>
            </w:tcBorders>
            <w:shd w:val="clear" w:color="auto" w:fill="auto"/>
            <w:noWrap/>
            <w:vAlign w:val="center"/>
            <w:hideMark/>
          </w:tcPr>
          <w:p w14:paraId="37828E9A"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c>
          <w:tcPr>
            <w:tcW w:w="1364" w:type="dxa"/>
            <w:tcBorders>
              <w:top w:val="nil"/>
              <w:left w:val="nil"/>
              <w:bottom w:val="single" w:sz="4" w:space="0" w:color="auto"/>
              <w:right w:val="single" w:sz="4" w:space="0" w:color="auto"/>
            </w:tcBorders>
            <w:shd w:val="clear" w:color="auto" w:fill="auto"/>
            <w:noWrap/>
            <w:vAlign w:val="center"/>
            <w:hideMark/>
          </w:tcPr>
          <w:p w14:paraId="26A569C9"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w:t>
            </w:r>
          </w:p>
        </w:tc>
        <w:tc>
          <w:tcPr>
            <w:tcW w:w="1253" w:type="dxa"/>
            <w:tcBorders>
              <w:top w:val="nil"/>
              <w:left w:val="nil"/>
              <w:bottom w:val="single" w:sz="4" w:space="0" w:color="auto"/>
              <w:right w:val="single" w:sz="4" w:space="0" w:color="auto"/>
            </w:tcBorders>
            <w:shd w:val="clear" w:color="auto" w:fill="auto"/>
            <w:noWrap/>
            <w:vAlign w:val="center"/>
            <w:hideMark/>
          </w:tcPr>
          <w:p w14:paraId="32D81492"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r>
      <w:tr w:rsidR="00820E35" w:rsidRPr="00820E35" w14:paraId="73902BE0"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7898202A"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Nombre de litiges liés aux quantités</w:t>
            </w:r>
          </w:p>
        </w:tc>
        <w:tc>
          <w:tcPr>
            <w:tcW w:w="1364" w:type="dxa"/>
            <w:tcBorders>
              <w:top w:val="nil"/>
              <w:left w:val="nil"/>
              <w:bottom w:val="single" w:sz="4" w:space="0" w:color="auto"/>
              <w:right w:val="single" w:sz="4" w:space="0" w:color="auto"/>
            </w:tcBorders>
            <w:shd w:val="clear" w:color="auto" w:fill="auto"/>
            <w:noWrap/>
            <w:vAlign w:val="center"/>
            <w:hideMark/>
          </w:tcPr>
          <w:p w14:paraId="7F16D7C0"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c>
          <w:tcPr>
            <w:tcW w:w="1364" w:type="dxa"/>
            <w:tcBorders>
              <w:top w:val="nil"/>
              <w:left w:val="nil"/>
              <w:bottom w:val="single" w:sz="4" w:space="0" w:color="auto"/>
              <w:right w:val="single" w:sz="4" w:space="0" w:color="auto"/>
            </w:tcBorders>
            <w:shd w:val="clear" w:color="auto" w:fill="auto"/>
            <w:noWrap/>
            <w:vAlign w:val="center"/>
            <w:hideMark/>
          </w:tcPr>
          <w:p w14:paraId="2A5FE18E"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c>
          <w:tcPr>
            <w:tcW w:w="1364" w:type="dxa"/>
            <w:tcBorders>
              <w:top w:val="nil"/>
              <w:left w:val="nil"/>
              <w:bottom w:val="single" w:sz="4" w:space="0" w:color="auto"/>
              <w:right w:val="single" w:sz="4" w:space="0" w:color="auto"/>
            </w:tcBorders>
            <w:shd w:val="clear" w:color="auto" w:fill="auto"/>
            <w:noWrap/>
            <w:vAlign w:val="center"/>
            <w:hideMark/>
          </w:tcPr>
          <w:p w14:paraId="3B5CC15A"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c>
          <w:tcPr>
            <w:tcW w:w="1253" w:type="dxa"/>
            <w:tcBorders>
              <w:top w:val="nil"/>
              <w:left w:val="nil"/>
              <w:bottom w:val="single" w:sz="4" w:space="0" w:color="auto"/>
              <w:right w:val="single" w:sz="4" w:space="0" w:color="auto"/>
            </w:tcBorders>
            <w:shd w:val="clear" w:color="auto" w:fill="auto"/>
            <w:noWrap/>
            <w:vAlign w:val="center"/>
            <w:hideMark/>
          </w:tcPr>
          <w:p w14:paraId="70727F72"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r>
      <w:tr w:rsidR="00820E35" w:rsidRPr="00820E35" w14:paraId="0B8ABFE6"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7CF02D21"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Nombre de litiges liés à la valeur des biens</w:t>
            </w:r>
          </w:p>
        </w:tc>
        <w:tc>
          <w:tcPr>
            <w:tcW w:w="1364" w:type="dxa"/>
            <w:tcBorders>
              <w:top w:val="nil"/>
              <w:left w:val="nil"/>
              <w:bottom w:val="single" w:sz="4" w:space="0" w:color="auto"/>
              <w:right w:val="single" w:sz="4" w:space="0" w:color="auto"/>
            </w:tcBorders>
            <w:shd w:val="clear" w:color="auto" w:fill="auto"/>
            <w:noWrap/>
            <w:vAlign w:val="center"/>
            <w:hideMark/>
          </w:tcPr>
          <w:p w14:paraId="25003577"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c>
          <w:tcPr>
            <w:tcW w:w="1364" w:type="dxa"/>
            <w:tcBorders>
              <w:top w:val="nil"/>
              <w:left w:val="nil"/>
              <w:bottom w:val="single" w:sz="4" w:space="0" w:color="auto"/>
              <w:right w:val="single" w:sz="4" w:space="0" w:color="auto"/>
            </w:tcBorders>
            <w:shd w:val="clear" w:color="auto" w:fill="auto"/>
            <w:noWrap/>
            <w:vAlign w:val="center"/>
            <w:hideMark/>
          </w:tcPr>
          <w:p w14:paraId="140FCE0E"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w:t>
            </w:r>
          </w:p>
        </w:tc>
        <w:tc>
          <w:tcPr>
            <w:tcW w:w="1364" w:type="dxa"/>
            <w:tcBorders>
              <w:top w:val="nil"/>
              <w:left w:val="nil"/>
              <w:bottom w:val="single" w:sz="4" w:space="0" w:color="auto"/>
              <w:right w:val="single" w:sz="4" w:space="0" w:color="auto"/>
            </w:tcBorders>
            <w:shd w:val="clear" w:color="auto" w:fill="auto"/>
            <w:noWrap/>
            <w:vAlign w:val="center"/>
            <w:hideMark/>
          </w:tcPr>
          <w:p w14:paraId="3D60AEED"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c>
          <w:tcPr>
            <w:tcW w:w="1253" w:type="dxa"/>
            <w:tcBorders>
              <w:top w:val="nil"/>
              <w:left w:val="nil"/>
              <w:bottom w:val="single" w:sz="4" w:space="0" w:color="auto"/>
              <w:right w:val="single" w:sz="4" w:space="0" w:color="auto"/>
            </w:tcBorders>
            <w:shd w:val="clear" w:color="auto" w:fill="auto"/>
            <w:noWrap/>
            <w:vAlign w:val="center"/>
            <w:hideMark/>
          </w:tcPr>
          <w:p w14:paraId="41238AA5"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0</w:t>
            </w:r>
          </w:p>
        </w:tc>
      </w:tr>
      <w:tr w:rsidR="00820E35" w:rsidRPr="00820E35" w14:paraId="27310785"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64F099DE"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Nombre de litiges liés au transport (colis)</w:t>
            </w:r>
          </w:p>
        </w:tc>
        <w:tc>
          <w:tcPr>
            <w:tcW w:w="1364" w:type="dxa"/>
            <w:tcBorders>
              <w:top w:val="nil"/>
              <w:left w:val="nil"/>
              <w:bottom w:val="single" w:sz="4" w:space="0" w:color="auto"/>
              <w:right w:val="single" w:sz="4" w:space="0" w:color="auto"/>
            </w:tcBorders>
            <w:shd w:val="clear" w:color="auto" w:fill="auto"/>
            <w:noWrap/>
            <w:vAlign w:val="center"/>
            <w:hideMark/>
          </w:tcPr>
          <w:p w14:paraId="7D4BC624"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4</w:t>
            </w:r>
          </w:p>
        </w:tc>
        <w:tc>
          <w:tcPr>
            <w:tcW w:w="1364" w:type="dxa"/>
            <w:tcBorders>
              <w:top w:val="nil"/>
              <w:left w:val="nil"/>
              <w:bottom w:val="single" w:sz="4" w:space="0" w:color="auto"/>
              <w:right w:val="single" w:sz="4" w:space="0" w:color="auto"/>
            </w:tcBorders>
            <w:shd w:val="clear" w:color="auto" w:fill="auto"/>
            <w:noWrap/>
            <w:vAlign w:val="center"/>
            <w:hideMark/>
          </w:tcPr>
          <w:p w14:paraId="5EFD53E1"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w:t>
            </w:r>
          </w:p>
        </w:tc>
        <w:tc>
          <w:tcPr>
            <w:tcW w:w="1364" w:type="dxa"/>
            <w:tcBorders>
              <w:top w:val="nil"/>
              <w:left w:val="nil"/>
              <w:bottom w:val="single" w:sz="4" w:space="0" w:color="auto"/>
              <w:right w:val="single" w:sz="4" w:space="0" w:color="auto"/>
            </w:tcBorders>
            <w:shd w:val="clear" w:color="auto" w:fill="auto"/>
            <w:noWrap/>
            <w:vAlign w:val="center"/>
            <w:hideMark/>
          </w:tcPr>
          <w:p w14:paraId="3787C1DF"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w:t>
            </w:r>
          </w:p>
        </w:tc>
        <w:tc>
          <w:tcPr>
            <w:tcW w:w="1253" w:type="dxa"/>
            <w:tcBorders>
              <w:top w:val="nil"/>
              <w:left w:val="nil"/>
              <w:bottom w:val="single" w:sz="4" w:space="0" w:color="auto"/>
              <w:right w:val="single" w:sz="4" w:space="0" w:color="auto"/>
            </w:tcBorders>
            <w:shd w:val="clear" w:color="auto" w:fill="auto"/>
            <w:noWrap/>
            <w:vAlign w:val="center"/>
            <w:hideMark/>
          </w:tcPr>
          <w:p w14:paraId="6E254766"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w:t>
            </w:r>
          </w:p>
        </w:tc>
      </w:tr>
      <w:tr w:rsidR="00820E35" w:rsidRPr="00820E35" w14:paraId="0B020B16"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1EFA4FB6"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Nombre de retard de livraison</w:t>
            </w:r>
          </w:p>
        </w:tc>
        <w:tc>
          <w:tcPr>
            <w:tcW w:w="1364" w:type="dxa"/>
            <w:tcBorders>
              <w:top w:val="nil"/>
              <w:left w:val="nil"/>
              <w:bottom w:val="single" w:sz="4" w:space="0" w:color="auto"/>
              <w:right w:val="single" w:sz="4" w:space="0" w:color="auto"/>
            </w:tcBorders>
            <w:shd w:val="clear" w:color="auto" w:fill="auto"/>
            <w:noWrap/>
            <w:vAlign w:val="center"/>
            <w:hideMark/>
          </w:tcPr>
          <w:p w14:paraId="03D0BD28"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w:t>
            </w:r>
          </w:p>
        </w:tc>
        <w:tc>
          <w:tcPr>
            <w:tcW w:w="1364" w:type="dxa"/>
            <w:tcBorders>
              <w:top w:val="nil"/>
              <w:left w:val="nil"/>
              <w:bottom w:val="single" w:sz="4" w:space="0" w:color="auto"/>
              <w:right w:val="single" w:sz="4" w:space="0" w:color="auto"/>
            </w:tcBorders>
            <w:shd w:val="clear" w:color="auto" w:fill="auto"/>
            <w:noWrap/>
            <w:vAlign w:val="center"/>
            <w:hideMark/>
          </w:tcPr>
          <w:p w14:paraId="79F5584E"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4</w:t>
            </w:r>
          </w:p>
        </w:tc>
        <w:tc>
          <w:tcPr>
            <w:tcW w:w="1364" w:type="dxa"/>
            <w:tcBorders>
              <w:top w:val="nil"/>
              <w:left w:val="nil"/>
              <w:bottom w:val="single" w:sz="4" w:space="0" w:color="auto"/>
              <w:right w:val="single" w:sz="4" w:space="0" w:color="auto"/>
            </w:tcBorders>
            <w:shd w:val="clear" w:color="auto" w:fill="auto"/>
            <w:noWrap/>
            <w:vAlign w:val="center"/>
            <w:hideMark/>
          </w:tcPr>
          <w:p w14:paraId="5449B20E"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4</w:t>
            </w:r>
          </w:p>
        </w:tc>
        <w:tc>
          <w:tcPr>
            <w:tcW w:w="1253" w:type="dxa"/>
            <w:tcBorders>
              <w:top w:val="nil"/>
              <w:left w:val="nil"/>
              <w:bottom w:val="single" w:sz="4" w:space="0" w:color="auto"/>
              <w:right w:val="single" w:sz="4" w:space="0" w:color="auto"/>
            </w:tcBorders>
            <w:shd w:val="clear" w:color="auto" w:fill="auto"/>
            <w:noWrap/>
            <w:vAlign w:val="center"/>
            <w:hideMark/>
          </w:tcPr>
          <w:p w14:paraId="2A409788"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4</w:t>
            </w:r>
          </w:p>
        </w:tc>
      </w:tr>
      <w:tr w:rsidR="00820E35" w:rsidRPr="00820E35" w14:paraId="10C18D63"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686FF3D3"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Coûts générés par les dysfonctionnements</w:t>
            </w:r>
          </w:p>
        </w:tc>
        <w:tc>
          <w:tcPr>
            <w:tcW w:w="1364" w:type="dxa"/>
            <w:tcBorders>
              <w:top w:val="nil"/>
              <w:left w:val="nil"/>
              <w:bottom w:val="single" w:sz="4" w:space="0" w:color="auto"/>
              <w:right w:val="single" w:sz="4" w:space="0" w:color="auto"/>
            </w:tcBorders>
            <w:shd w:val="clear" w:color="auto" w:fill="auto"/>
            <w:noWrap/>
            <w:vAlign w:val="center"/>
            <w:hideMark/>
          </w:tcPr>
          <w:p w14:paraId="29E9E5A2"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3 000 €</w:t>
            </w:r>
          </w:p>
        </w:tc>
        <w:tc>
          <w:tcPr>
            <w:tcW w:w="1364" w:type="dxa"/>
            <w:tcBorders>
              <w:top w:val="nil"/>
              <w:left w:val="nil"/>
              <w:bottom w:val="single" w:sz="4" w:space="0" w:color="auto"/>
              <w:right w:val="single" w:sz="4" w:space="0" w:color="auto"/>
            </w:tcBorders>
            <w:shd w:val="clear" w:color="auto" w:fill="auto"/>
            <w:noWrap/>
            <w:vAlign w:val="center"/>
            <w:hideMark/>
          </w:tcPr>
          <w:p w14:paraId="0D1B349F"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1 400 €</w:t>
            </w:r>
          </w:p>
        </w:tc>
        <w:tc>
          <w:tcPr>
            <w:tcW w:w="1364" w:type="dxa"/>
            <w:tcBorders>
              <w:top w:val="nil"/>
              <w:left w:val="nil"/>
              <w:bottom w:val="single" w:sz="4" w:space="0" w:color="auto"/>
              <w:right w:val="single" w:sz="4" w:space="0" w:color="auto"/>
            </w:tcBorders>
            <w:shd w:val="clear" w:color="auto" w:fill="auto"/>
            <w:noWrap/>
            <w:vAlign w:val="center"/>
            <w:hideMark/>
          </w:tcPr>
          <w:p w14:paraId="67BE7726"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2 900 €</w:t>
            </w:r>
          </w:p>
        </w:tc>
        <w:tc>
          <w:tcPr>
            <w:tcW w:w="1253" w:type="dxa"/>
            <w:tcBorders>
              <w:top w:val="nil"/>
              <w:left w:val="nil"/>
              <w:bottom w:val="single" w:sz="4" w:space="0" w:color="auto"/>
              <w:right w:val="single" w:sz="4" w:space="0" w:color="auto"/>
            </w:tcBorders>
            <w:shd w:val="clear" w:color="auto" w:fill="auto"/>
            <w:noWrap/>
            <w:vAlign w:val="center"/>
            <w:hideMark/>
          </w:tcPr>
          <w:p w14:paraId="10EDE046"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900 €</w:t>
            </w:r>
          </w:p>
        </w:tc>
      </w:tr>
      <w:tr w:rsidR="00820E35" w:rsidRPr="00820E35" w14:paraId="2AC8080D" w14:textId="77777777" w:rsidTr="00104F83">
        <w:trPr>
          <w:trHeight w:val="300"/>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14:paraId="6C59CC07" w14:textId="77777777" w:rsidR="00820E35" w:rsidRPr="00820E35" w:rsidRDefault="00820E35" w:rsidP="00104F83">
            <w:pPr>
              <w:jc w:val="left"/>
              <w:rPr>
                <w:rFonts w:eastAsia="Times New Roman" w:cs="Arial"/>
                <w:color w:val="000000"/>
                <w:sz w:val="20"/>
                <w:szCs w:val="18"/>
                <w:lang w:eastAsia="fr-FR"/>
              </w:rPr>
            </w:pPr>
            <w:r w:rsidRPr="00820E35">
              <w:rPr>
                <w:rFonts w:eastAsia="Times New Roman" w:cs="Arial"/>
                <w:color w:val="000000"/>
                <w:sz w:val="20"/>
                <w:szCs w:val="18"/>
                <w:lang w:eastAsia="fr-FR"/>
              </w:rPr>
              <w:t>Coût moyen d'une commande</w:t>
            </w:r>
          </w:p>
        </w:tc>
        <w:tc>
          <w:tcPr>
            <w:tcW w:w="1364" w:type="dxa"/>
            <w:tcBorders>
              <w:top w:val="nil"/>
              <w:left w:val="nil"/>
              <w:bottom w:val="single" w:sz="4" w:space="0" w:color="auto"/>
              <w:right w:val="single" w:sz="4" w:space="0" w:color="auto"/>
            </w:tcBorders>
            <w:shd w:val="clear" w:color="auto" w:fill="auto"/>
            <w:noWrap/>
            <w:vAlign w:val="center"/>
            <w:hideMark/>
          </w:tcPr>
          <w:p w14:paraId="4BF52A2B"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1 456 €</w:t>
            </w:r>
          </w:p>
        </w:tc>
        <w:tc>
          <w:tcPr>
            <w:tcW w:w="1364" w:type="dxa"/>
            <w:tcBorders>
              <w:top w:val="nil"/>
              <w:left w:val="nil"/>
              <w:bottom w:val="single" w:sz="4" w:space="0" w:color="auto"/>
              <w:right w:val="single" w:sz="4" w:space="0" w:color="auto"/>
            </w:tcBorders>
            <w:shd w:val="clear" w:color="auto" w:fill="auto"/>
            <w:noWrap/>
            <w:vAlign w:val="center"/>
            <w:hideMark/>
          </w:tcPr>
          <w:p w14:paraId="175F96C1"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384 €</w:t>
            </w:r>
          </w:p>
        </w:tc>
        <w:tc>
          <w:tcPr>
            <w:tcW w:w="1364" w:type="dxa"/>
            <w:tcBorders>
              <w:top w:val="nil"/>
              <w:left w:val="nil"/>
              <w:bottom w:val="single" w:sz="4" w:space="0" w:color="auto"/>
              <w:right w:val="single" w:sz="4" w:space="0" w:color="auto"/>
            </w:tcBorders>
            <w:shd w:val="clear" w:color="auto" w:fill="auto"/>
            <w:noWrap/>
            <w:vAlign w:val="center"/>
            <w:hideMark/>
          </w:tcPr>
          <w:p w14:paraId="49272981"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1 525 €</w:t>
            </w:r>
          </w:p>
        </w:tc>
        <w:tc>
          <w:tcPr>
            <w:tcW w:w="1253" w:type="dxa"/>
            <w:tcBorders>
              <w:top w:val="nil"/>
              <w:left w:val="nil"/>
              <w:bottom w:val="single" w:sz="4" w:space="0" w:color="auto"/>
              <w:right w:val="single" w:sz="4" w:space="0" w:color="auto"/>
            </w:tcBorders>
            <w:shd w:val="clear" w:color="auto" w:fill="auto"/>
            <w:noWrap/>
            <w:vAlign w:val="center"/>
            <w:hideMark/>
          </w:tcPr>
          <w:p w14:paraId="7E7006F6" w14:textId="77777777" w:rsidR="00820E35" w:rsidRPr="00820E35" w:rsidRDefault="00820E35" w:rsidP="00104F83">
            <w:pPr>
              <w:jc w:val="center"/>
              <w:rPr>
                <w:rFonts w:eastAsia="Times New Roman" w:cs="Arial"/>
                <w:color w:val="000000"/>
                <w:sz w:val="20"/>
                <w:szCs w:val="18"/>
                <w:lang w:eastAsia="fr-FR"/>
              </w:rPr>
            </w:pPr>
            <w:r w:rsidRPr="00820E35">
              <w:rPr>
                <w:rFonts w:eastAsia="Times New Roman" w:cs="Arial"/>
                <w:color w:val="000000"/>
                <w:sz w:val="20"/>
                <w:szCs w:val="18"/>
                <w:lang w:eastAsia="fr-FR"/>
              </w:rPr>
              <w:t>540 €</w:t>
            </w:r>
          </w:p>
        </w:tc>
      </w:tr>
    </w:tbl>
    <w:p w14:paraId="56E997CA" w14:textId="77777777" w:rsidR="00820E35" w:rsidRPr="00820E35" w:rsidRDefault="00820E35" w:rsidP="00820E35">
      <w:pPr>
        <w:rPr>
          <w:sz w:val="20"/>
        </w:rPr>
      </w:pPr>
    </w:p>
    <w:p w14:paraId="5A70FBA5" w14:textId="77777777" w:rsidR="00820E35" w:rsidRPr="00820E35" w:rsidRDefault="00820E35" w:rsidP="00820E35">
      <w:pPr>
        <w:rPr>
          <w:sz w:val="20"/>
        </w:rPr>
      </w:pPr>
    </w:p>
    <w:p w14:paraId="3B72CBEC" w14:textId="77777777" w:rsidR="00820E35" w:rsidRPr="00820E35" w:rsidRDefault="00820E35" w:rsidP="00820E35">
      <w:pPr>
        <w:rPr>
          <w:sz w:val="20"/>
        </w:rPr>
      </w:pPr>
    </w:p>
    <w:p w14:paraId="3E05F48D" w14:textId="77777777" w:rsidR="00820E35" w:rsidRPr="004D0243" w:rsidRDefault="00820E35" w:rsidP="00820E35">
      <w:pPr>
        <w:rPr>
          <w:b/>
          <w:sz w:val="24"/>
          <w:szCs w:val="32"/>
        </w:rPr>
      </w:pPr>
      <w:r w:rsidRPr="004D0243">
        <w:rPr>
          <w:b/>
          <w:sz w:val="24"/>
          <w:szCs w:val="32"/>
        </w:rPr>
        <w:t xml:space="preserve">Travail à faire  </w:t>
      </w:r>
    </w:p>
    <w:p w14:paraId="05839A92" w14:textId="77777777" w:rsidR="00820E35" w:rsidRPr="00820E35" w:rsidRDefault="00820E35" w:rsidP="00820E35">
      <w:pPr>
        <w:spacing w:before="120"/>
        <w:rPr>
          <w:sz w:val="20"/>
          <w:szCs w:val="20"/>
        </w:rPr>
      </w:pPr>
      <w:r w:rsidRPr="00820E35">
        <w:rPr>
          <w:sz w:val="20"/>
          <w:szCs w:val="20"/>
        </w:rPr>
        <w:t>Analysez ces données et faites un compte rendu de vos conclusions. Vous devez notamment calculer les indicateurs qui vous sont remis dans le tableau suivant.</w:t>
      </w:r>
    </w:p>
    <w:p w14:paraId="24CD823F" w14:textId="77777777" w:rsidR="00820E35" w:rsidRPr="00820E35" w:rsidRDefault="00820E35" w:rsidP="00820E35">
      <w:pPr>
        <w:rPr>
          <w:rFonts w:ascii="Monotype Corsiva" w:hAnsi="Monotype Corsiva"/>
          <w:sz w:val="24"/>
          <w:szCs w:val="20"/>
        </w:rPr>
      </w:pPr>
    </w:p>
    <w:tbl>
      <w:tblPr>
        <w:tblStyle w:val="Grilledutableau"/>
        <w:tblW w:w="7792" w:type="dxa"/>
        <w:jc w:val="center"/>
        <w:tblLook w:val="04A0" w:firstRow="1" w:lastRow="0" w:firstColumn="1" w:lastColumn="0" w:noHBand="0" w:noVBand="1"/>
      </w:tblPr>
      <w:tblGrid>
        <w:gridCol w:w="3045"/>
        <w:gridCol w:w="4747"/>
      </w:tblGrid>
      <w:tr w:rsidR="00820E35" w:rsidRPr="00820E35" w14:paraId="575E4566" w14:textId="77777777" w:rsidTr="00104F83">
        <w:trPr>
          <w:jc w:val="center"/>
        </w:trPr>
        <w:tc>
          <w:tcPr>
            <w:tcW w:w="3045" w:type="dxa"/>
            <w:vAlign w:val="center"/>
          </w:tcPr>
          <w:p w14:paraId="7B0A6EFE" w14:textId="77777777" w:rsidR="00820E35" w:rsidRPr="00820E35" w:rsidRDefault="00820E35" w:rsidP="00104F83">
            <w:pPr>
              <w:jc w:val="center"/>
              <w:rPr>
                <w:rFonts w:eastAsia="Times New Roman" w:cs="Arial"/>
                <w:b/>
                <w:bCs/>
                <w:color w:val="000000"/>
                <w:szCs w:val="16"/>
              </w:rPr>
            </w:pPr>
            <w:r w:rsidRPr="00820E35">
              <w:rPr>
                <w:rFonts w:eastAsia="Times New Roman" w:cs="Arial"/>
                <w:b/>
                <w:bCs/>
                <w:color w:val="000000"/>
                <w:szCs w:val="16"/>
              </w:rPr>
              <w:t>Problème stockage</w:t>
            </w:r>
          </w:p>
          <w:p w14:paraId="5A510ABF" w14:textId="77777777" w:rsidR="00820E35" w:rsidRPr="00820E35" w:rsidRDefault="00820E35" w:rsidP="00104F83">
            <w:pPr>
              <w:jc w:val="center"/>
              <w:rPr>
                <w:rFonts w:eastAsia="Times New Roman" w:cs="Arial"/>
                <w:b/>
                <w:bCs/>
                <w:color w:val="000000"/>
                <w:szCs w:val="16"/>
              </w:rPr>
            </w:pPr>
          </w:p>
        </w:tc>
        <w:tc>
          <w:tcPr>
            <w:tcW w:w="4747" w:type="dxa"/>
          </w:tcPr>
          <w:p w14:paraId="7216209E"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Achat moyen</w:t>
            </w:r>
          </w:p>
          <w:p w14:paraId="55EE486E"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Chiffre d’affaires mensuel</w:t>
            </w:r>
          </w:p>
          <w:p w14:paraId="315D87B1"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Durée de stockage en jours</w:t>
            </w:r>
          </w:p>
          <w:p w14:paraId="6C2B6212"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Délai entre 2 commandes</w:t>
            </w:r>
          </w:p>
        </w:tc>
      </w:tr>
      <w:tr w:rsidR="00820E35" w:rsidRPr="00820E35" w14:paraId="25AB45DC" w14:textId="77777777" w:rsidTr="00104F83">
        <w:trPr>
          <w:jc w:val="center"/>
        </w:trPr>
        <w:tc>
          <w:tcPr>
            <w:tcW w:w="3045" w:type="dxa"/>
            <w:vAlign w:val="center"/>
          </w:tcPr>
          <w:p w14:paraId="56993371" w14:textId="77777777" w:rsidR="00820E35" w:rsidRPr="00820E35" w:rsidRDefault="00820E35" w:rsidP="00104F83">
            <w:pPr>
              <w:jc w:val="center"/>
              <w:rPr>
                <w:rFonts w:eastAsia="Times New Roman" w:cs="Arial"/>
                <w:b/>
                <w:bCs/>
                <w:color w:val="000000"/>
                <w:szCs w:val="16"/>
              </w:rPr>
            </w:pPr>
            <w:r w:rsidRPr="00820E35">
              <w:rPr>
                <w:rFonts w:eastAsia="Times New Roman" w:cs="Arial"/>
                <w:b/>
                <w:bCs/>
                <w:color w:val="000000"/>
                <w:szCs w:val="16"/>
              </w:rPr>
              <w:t>Litige transport</w:t>
            </w:r>
          </w:p>
        </w:tc>
        <w:tc>
          <w:tcPr>
            <w:tcW w:w="4747" w:type="dxa"/>
          </w:tcPr>
          <w:p w14:paraId="4E576AA3"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Taux de litige par fournisseur</w:t>
            </w:r>
          </w:p>
          <w:p w14:paraId="0AA2E156"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Taux litige par transporteur</w:t>
            </w:r>
          </w:p>
        </w:tc>
      </w:tr>
      <w:tr w:rsidR="00820E35" w:rsidRPr="00820E35" w14:paraId="5B9D3CA8" w14:textId="77777777" w:rsidTr="00104F83">
        <w:trPr>
          <w:jc w:val="center"/>
        </w:trPr>
        <w:tc>
          <w:tcPr>
            <w:tcW w:w="3045" w:type="dxa"/>
            <w:vAlign w:val="center"/>
          </w:tcPr>
          <w:p w14:paraId="36A3C371" w14:textId="77777777" w:rsidR="00820E35" w:rsidRPr="00820E35" w:rsidRDefault="00820E35" w:rsidP="00104F83">
            <w:pPr>
              <w:jc w:val="center"/>
              <w:rPr>
                <w:rFonts w:eastAsia="Times New Roman" w:cs="Arial"/>
                <w:b/>
                <w:bCs/>
                <w:color w:val="000000"/>
                <w:szCs w:val="16"/>
              </w:rPr>
            </w:pPr>
            <w:r w:rsidRPr="00820E35">
              <w:rPr>
                <w:rFonts w:eastAsia="Times New Roman" w:cs="Arial"/>
                <w:b/>
                <w:bCs/>
                <w:color w:val="000000"/>
                <w:szCs w:val="16"/>
              </w:rPr>
              <w:t>Coût des dysfonctionnements</w:t>
            </w:r>
          </w:p>
        </w:tc>
        <w:tc>
          <w:tcPr>
            <w:tcW w:w="4747" w:type="dxa"/>
          </w:tcPr>
          <w:p w14:paraId="438D9A92"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Coût d'une commande</w:t>
            </w:r>
          </w:p>
          <w:p w14:paraId="2A6FA8AF"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Pourcentage coût commande/Achat total</w:t>
            </w:r>
          </w:p>
          <w:p w14:paraId="18A70CA8" w14:textId="77777777" w:rsidR="00820E35" w:rsidRPr="00820E35" w:rsidRDefault="00820E35" w:rsidP="00820E35">
            <w:pPr>
              <w:pStyle w:val="Paragraphedeliste"/>
              <w:numPr>
                <w:ilvl w:val="0"/>
                <w:numId w:val="1"/>
              </w:numPr>
              <w:spacing w:before="40" w:after="40"/>
              <w:ind w:left="245" w:hanging="245"/>
              <w:jc w:val="left"/>
              <w:rPr>
                <w:rFonts w:eastAsia="Times New Roman" w:cs="Arial"/>
                <w:color w:val="000000"/>
                <w:szCs w:val="16"/>
              </w:rPr>
            </w:pPr>
            <w:r w:rsidRPr="00820E35">
              <w:rPr>
                <w:rFonts w:eastAsia="Times New Roman" w:cs="Arial"/>
                <w:color w:val="000000"/>
                <w:szCs w:val="16"/>
              </w:rPr>
              <w:t>Pourcentage coût des litiges/achat total</w:t>
            </w:r>
          </w:p>
        </w:tc>
      </w:tr>
    </w:tbl>
    <w:p w14:paraId="3A2CD8A4" w14:textId="77777777" w:rsidR="00820E35" w:rsidRDefault="00820E35" w:rsidP="00820E35">
      <w:pPr>
        <w:jc w:val="left"/>
        <w:rPr>
          <w:rFonts w:eastAsia="Times New Roman" w:cs="Arial"/>
          <w:b/>
          <w:bCs/>
          <w:color w:val="000000"/>
          <w:lang w:eastAsia="fr-FR"/>
        </w:rPr>
      </w:pPr>
    </w:p>
    <w:p w14:paraId="657FDCB9" w14:textId="77777777" w:rsidR="00820E35" w:rsidRDefault="00820E35" w:rsidP="00820E35">
      <w:pPr>
        <w:jc w:val="left"/>
        <w:rPr>
          <w:rFonts w:eastAsia="Times New Roman" w:cs="Arial"/>
          <w:b/>
          <w:bCs/>
          <w:color w:val="000000"/>
          <w:lang w:eastAsia="fr-FR"/>
        </w:rPr>
      </w:pPr>
    </w:p>
    <w:bookmarkEnd w:id="0"/>
    <w:p w14:paraId="6D14B528" w14:textId="77777777" w:rsidR="00BF37FA" w:rsidRPr="00820E35" w:rsidRDefault="00BF37FA" w:rsidP="00820E35"/>
    <w:sectPr w:rsidR="00BF37FA" w:rsidRPr="00820E35" w:rsidSect="00F02DE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E5BC4"/>
    <w:multiLevelType w:val="hybridMultilevel"/>
    <w:tmpl w:val="94D2C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20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18"/>
    <w:rsid w:val="00251E88"/>
    <w:rsid w:val="00701618"/>
    <w:rsid w:val="00820E35"/>
    <w:rsid w:val="00944A38"/>
    <w:rsid w:val="00B13D83"/>
    <w:rsid w:val="00BF37FA"/>
    <w:rsid w:val="00F02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3D99"/>
  <w15:chartTrackingRefBased/>
  <w15:docId w15:val="{524FBE44-AC83-4694-A2A2-74DA3B3C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18"/>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01618"/>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1618"/>
    <w:rPr>
      <w:rFonts w:ascii="Arial" w:eastAsia="Times New Roman" w:hAnsi="Arial" w:cs="Arial"/>
      <w:b/>
      <w:color w:val="000000"/>
      <w:sz w:val="28"/>
      <w:szCs w:val="20"/>
      <w:lang w:eastAsia="fr-FR"/>
    </w:rPr>
  </w:style>
  <w:style w:type="paragraph" w:customStyle="1" w:styleId="tacheseurasment">
    <w:name w:val="taches eurasment"/>
    <w:basedOn w:val="Normal"/>
    <w:rsid w:val="00701618"/>
    <w:rPr>
      <w:rFonts w:eastAsia="Times New Roman"/>
      <w:sz w:val="20"/>
      <w:szCs w:val="24"/>
      <w:lang w:eastAsia="fr-FR"/>
    </w:rPr>
  </w:style>
  <w:style w:type="table" w:styleId="Grilledutableau">
    <w:name w:val="Table Grid"/>
    <w:basedOn w:val="TableauNormal"/>
    <w:uiPriority w:val="39"/>
    <w:rsid w:val="0070161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2DEB"/>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1271</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2015-01-19T08:35:00Z</dcterms:created>
  <dcterms:modified xsi:type="dcterms:W3CDTF">2023-02-20T21:13:00Z</dcterms:modified>
</cp:coreProperties>
</file>